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CF96D" w14:textId="77777777" w:rsidR="00612C81" w:rsidRDefault="00612C81" w:rsidP="00612C81">
      <w:pPr>
        <w:jc w:val="center"/>
        <w:rPr>
          <w:rFonts w:ascii="Arial" w:hAnsi="Arial" w:cs="Arial"/>
          <w:b/>
          <w:bCs/>
        </w:rPr>
      </w:pPr>
      <w:bookmarkStart w:id="0" w:name="_Hlk87168978"/>
      <w:bookmarkStart w:id="1" w:name="_Hlk87257785"/>
      <w:r>
        <w:rPr>
          <w:rFonts w:ascii="Arial" w:hAnsi="Arial" w:cs="Arial"/>
          <w:b/>
          <w:bCs/>
        </w:rPr>
        <w:t>Supplementary Information</w:t>
      </w:r>
      <w:bookmarkEnd w:id="0"/>
    </w:p>
    <w:p w14:paraId="5B3BCD0E" w14:textId="77777777" w:rsidR="00612C81" w:rsidRDefault="00612C81" w:rsidP="00612C81">
      <w:pPr>
        <w:pStyle w:val="NoSpacing"/>
        <w:jc w:val="center"/>
        <w:rPr>
          <w:rFonts w:ascii="Arial" w:hAnsi="Arial" w:cs="Arial"/>
          <w:b/>
          <w:bCs/>
        </w:rPr>
      </w:pPr>
    </w:p>
    <w:p w14:paraId="09E4E69F" w14:textId="6859E1E4" w:rsidR="00612C81" w:rsidRDefault="00612C81" w:rsidP="00612C81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Outcomes of SARS-CoV-2 Reinfection</w:t>
      </w:r>
    </w:p>
    <w:p w14:paraId="2D702341" w14:textId="77777777" w:rsidR="00612C81" w:rsidRDefault="00612C81" w:rsidP="00612C81">
      <w:pPr>
        <w:pStyle w:val="NoSpacing"/>
        <w:jc w:val="center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8081"/>
        <w:gridCol w:w="1269"/>
      </w:tblGrid>
      <w:tr w:rsidR="00612C81" w14:paraId="12CE4408" w14:textId="77777777" w:rsidTr="00612C81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bookmarkEnd w:id="1"/>
          <w:p w14:paraId="3CEC2DF3" w14:textId="77777777" w:rsidR="00612C81" w:rsidRDefault="00612C81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Table of Contents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4BABA463" w14:textId="77777777" w:rsidR="00612C81" w:rsidRDefault="00612C81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Page</w:t>
            </w:r>
          </w:p>
        </w:tc>
      </w:tr>
      <w:tr w:rsidR="00612C81" w14:paraId="6DDC6F3B" w14:textId="77777777" w:rsidTr="00612C81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0E14A720" w14:textId="77777777" w:rsidR="00612C81" w:rsidRDefault="00612C81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Supplementary Figures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95C1D4A" w14:textId="77777777" w:rsidR="00612C81" w:rsidRDefault="00612C81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612C81" w14:paraId="6C590791" w14:textId="77777777" w:rsidTr="00612C81">
        <w:tc>
          <w:tcPr>
            <w:tcW w:w="808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411FC" w14:textId="3900B4EE" w:rsidR="00612C81" w:rsidRDefault="00612C81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Supplementary Figure 1:</w:t>
            </w:r>
            <w:r>
              <w:rPr>
                <w:rFonts w:ascii="Arial" w:hAnsi="Arial" w:cs="Arial"/>
              </w:rPr>
              <w:t xml:space="preserve"> </w:t>
            </w:r>
            <w:r w:rsidR="0027180E">
              <w:rPr>
                <w:rFonts w:ascii="Arial" w:hAnsi="Arial" w:cs="Arial"/>
              </w:rPr>
              <w:t>Standardized mean differences between SARS-CoV-2 reinfection and first infection before and after weighting.</w:t>
            </w:r>
          </w:p>
        </w:tc>
        <w:tc>
          <w:tcPr>
            <w:tcW w:w="126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2CB95" w14:textId="61CBCCCA" w:rsidR="00612C81" w:rsidRDefault="00612C8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612C81" w14:paraId="726C3F12" w14:textId="77777777" w:rsidTr="00612C81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44327" w14:textId="0D7C19F0" w:rsidR="00612C81" w:rsidRDefault="00612C81" w:rsidP="00612C81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Supplementary Figure 2:</w:t>
            </w:r>
            <w:r>
              <w:rPr>
                <w:rFonts w:ascii="Arial" w:hAnsi="Arial" w:cs="Arial"/>
              </w:rPr>
              <w:t xml:space="preserve"> </w:t>
            </w:r>
            <w:r w:rsidR="0027180E">
              <w:rPr>
                <w:rFonts w:ascii="Arial" w:hAnsi="Arial" w:cs="Arial"/>
              </w:rPr>
              <w:t>Standardized mean differences between those with first infection, two infections, and three or more infections and a non-infected control before and after weighting.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0F8F9" w14:textId="55B06C15" w:rsidR="00612C81" w:rsidRDefault="00612C81" w:rsidP="00612C8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612C81" w14:paraId="00468EFB" w14:textId="77777777" w:rsidTr="00612C81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6D412" w14:textId="4A13E227" w:rsidR="00612C81" w:rsidRDefault="002964A9" w:rsidP="002964A9">
            <w:pPr>
              <w:rPr>
                <w:rFonts w:ascii="Arial" w:hAnsi="Arial" w:cs="Arial"/>
                <w:b/>
                <w:bCs/>
              </w:rPr>
            </w:pPr>
            <w:r w:rsidRPr="00114AA2">
              <w:rPr>
                <w:rFonts w:ascii="Arial" w:hAnsi="Arial" w:cs="Arial"/>
                <w:b/>
                <w:bCs/>
              </w:rPr>
              <w:t>Supplementary Figure 3:</w:t>
            </w:r>
            <w:r w:rsidRPr="00114AA2">
              <w:rPr>
                <w:rFonts w:ascii="Arial" w:hAnsi="Arial" w:cs="Arial"/>
              </w:rPr>
              <w:t xml:space="preserve"> Cohort flowchart.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2A091" w14:textId="23749C8A" w:rsidR="00612C81" w:rsidRDefault="002964A9" w:rsidP="00612C8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12C81" w14:paraId="020C3898" w14:textId="77777777" w:rsidTr="00612C81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B4E3C" w14:textId="64FA0318" w:rsidR="00612C81" w:rsidRDefault="002964A9" w:rsidP="002964A9">
            <w:pPr>
              <w:rPr>
                <w:rFonts w:ascii="Arial" w:hAnsi="Arial" w:cs="Arial"/>
                <w:b/>
                <w:bCs/>
              </w:rPr>
            </w:pPr>
            <w:r w:rsidRPr="00114AA2">
              <w:rPr>
                <w:rFonts w:ascii="Arial" w:hAnsi="Arial" w:cs="Arial"/>
                <w:b/>
                <w:bCs/>
              </w:rPr>
              <w:t xml:space="preserve">Supplementary Figure </w:t>
            </w:r>
            <w:r>
              <w:rPr>
                <w:rFonts w:ascii="Arial" w:hAnsi="Arial" w:cs="Arial"/>
                <w:b/>
                <w:bCs/>
              </w:rPr>
              <w:t>4</w:t>
            </w:r>
            <w:r w:rsidRPr="00114AA2">
              <w:rPr>
                <w:rFonts w:ascii="Arial" w:hAnsi="Arial" w:cs="Arial"/>
                <w:b/>
                <w:bCs/>
              </w:rPr>
              <w:t>: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</w:rPr>
              <w:t>Timeline of analyses for risk and burden assessment comparing reinfection to first infection.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53FC4" w14:textId="4BA61553" w:rsidR="00612C81" w:rsidRDefault="002964A9" w:rsidP="00612C8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612C81" w14:paraId="4CD68814" w14:textId="77777777" w:rsidTr="00612C81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2A02" w14:textId="67939AF8" w:rsidR="00612C81" w:rsidRDefault="002964A9" w:rsidP="002964A9">
            <w:pPr>
              <w:rPr>
                <w:rFonts w:ascii="Arial" w:hAnsi="Arial" w:cs="Arial"/>
              </w:rPr>
            </w:pPr>
            <w:r w:rsidRPr="00114AA2">
              <w:rPr>
                <w:rFonts w:ascii="Arial" w:hAnsi="Arial" w:cs="Arial"/>
                <w:b/>
                <w:bCs/>
              </w:rPr>
              <w:t xml:space="preserve">Supplementary Figure </w:t>
            </w:r>
            <w:r>
              <w:rPr>
                <w:rFonts w:ascii="Arial" w:hAnsi="Arial" w:cs="Arial"/>
                <w:b/>
                <w:bCs/>
              </w:rPr>
              <w:t>5</w:t>
            </w:r>
            <w:r w:rsidRPr="00114AA2">
              <w:rPr>
                <w:rFonts w:ascii="Arial" w:hAnsi="Arial" w:cs="Arial"/>
                <w:b/>
                <w:bCs/>
              </w:rPr>
              <w:t>: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</w:rPr>
              <w:t>Timeline of analyses for risk and burden assessment by number of infections.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C4A99" w14:textId="3D8CFE06" w:rsidR="00612C81" w:rsidRDefault="002964A9" w:rsidP="00612C8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12C81" w14:paraId="40222214" w14:textId="77777777" w:rsidTr="00612C81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750E3F58" w14:textId="77777777" w:rsidR="00612C81" w:rsidRDefault="00612C81" w:rsidP="00612C81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Supplementary Tables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EA0F6A0" w14:textId="77777777" w:rsidR="00612C81" w:rsidRDefault="00612C81" w:rsidP="00612C81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3618B" w14:paraId="5543C283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23DD1" w14:textId="41FB46A3" w:rsidR="0083618B" w:rsidRDefault="0083618B" w:rsidP="0083618B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1:</w:t>
            </w:r>
            <w:r>
              <w:rPr>
                <w:rFonts w:ascii="Arial" w:hAnsi="Arial" w:cs="Arial"/>
                <w:color w:val="000000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br/>
              <w:t>Demographic and health characteristics of those with SARS-CoV-2 infection overall, first SARS-CoV-2 infection, SARS-CoV-2 reinfection, and the non-infected control group.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A71FD" w14:textId="77777777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Excel sheet </w:t>
            </w:r>
          </w:p>
        </w:tc>
      </w:tr>
      <w:tr w:rsidR="0083618B" w14:paraId="1732C8D4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9FFFF" w14:textId="07FF6F96" w:rsidR="0083618B" w:rsidRDefault="0083618B" w:rsidP="0083618B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2:</w:t>
            </w:r>
            <w:r>
              <w:rPr>
                <w:rFonts w:ascii="Arial" w:hAnsi="Arial" w:cs="Arial"/>
                <w:color w:val="000000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br/>
              <w:t>Demographic and health characteristics of SARS-CoV-2 reinfection after weighting.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E9C67" w14:textId="77777777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 sheet</w:t>
            </w:r>
          </w:p>
        </w:tc>
      </w:tr>
      <w:tr w:rsidR="0083618B" w14:paraId="7F4BAFDF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93B40F" w14:textId="5BAFECB5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3</w:t>
            </w:r>
            <w:r>
              <w:rPr>
                <w:rFonts w:ascii="Arial" w:hAnsi="Arial" w:cs="Arial"/>
                <w:color w:val="000000"/>
              </w:rPr>
              <w:br/>
              <w:t>Risk and 6-month burden of death, hospitalization, at least one sequela, and sequelae by organ system in SARS-CoV-2 reinfection compared to those with first SARS-CoV-2 infection.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F7E42" w14:textId="220E7FFA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Excel sheet </w:t>
            </w:r>
          </w:p>
        </w:tc>
      </w:tr>
      <w:tr w:rsidR="0083618B" w14:paraId="447697AC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A6EEA2" w14:textId="5823167F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4:</w:t>
            </w:r>
            <w:r>
              <w:rPr>
                <w:rFonts w:ascii="Arial" w:hAnsi="Arial" w:cs="Arial"/>
                <w:color w:val="000000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br/>
              <w:t>Risk and 6-month burden of death, hospitalization, at least one sequela, and sequelae by organ system in SARS-CoV-2 reinfection compared to first SARS-CoV-2 infection by vaccination status at time of reinfection.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70A1" w14:textId="21505E4F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 sheet</w:t>
            </w:r>
          </w:p>
        </w:tc>
      </w:tr>
      <w:tr w:rsidR="0083618B" w14:paraId="11EE4138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922CC0" w14:textId="7D598E0E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 xml:space="preserve">Supplementary Table 5: 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>Risk and 6-month burden of death, hospitalization, at least one sequela, and sequelae by organ system in SARS-CoV-2 reinfection compared to first SARS-CoV-2 infection by time since reinfection.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AE66" w14:textId="233EB0ED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Excel sheet </w:t>
            </w:r>
          </w:p>
        </w:tc>
      </w:tr>
      <w:tr w:rsidR="0083618B" w14:paraId="53D3E013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8C3BA" w14:textId="26B00FCE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6: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>Demographic and health characteristics in those with first infection, two infections, three infections, and the non-infected control.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9B43A" w14:textId="06732B4E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Excel sheet </w:t>
            </w:r>
          </w:p>
        </w:tc>
      </w:tr>
      <w:tr w:rsidR="0083618B" w14:paraId="2BBBF789" w14:textId="77777777" w:rsidTr="004A1EED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BE601" w14:textId="033FE22E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Supplementary Table 7: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br/>
              <w:t>Demographic and health characteristics of those with first SARS-CoV-2 infection, two SARS-CoV-2 infections, three or more SARS-CoV-2 infections, and the non-infected control group after weighting.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39DDC" w14:textId="0105FBD7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 sheet</w:t>
            </w:r>
          </w:p>
        </w:tc>
      </w:tr>
      <w:tr w:rsidR="0083618B" w14:paraId="58F22745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40AD9" w14:textId="2DEFF6AF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8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>Risk and 6-month burden of hospitalization, at least one sequela, and sequelae by organ system in those with first SARS-CoV-2 infection compared to the non-infected control.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11CFE" w14:textId="3D54BC10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Excel sheet </w:t>
            </w:r>
          </w:p>
        </w:tc>
      </w:tr>
      <w:tr w:rsidR="0083618B" w14:paraId="25E7936E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9109A" w14:textId="067D7FD5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9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>Risk and 6-month burden of hospitalization, at least one sequela, and sequelae by organ system in those with two SARS-CoV-2 infections compared to the non-infected control.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EAEE0" w14:textId="335F3E45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 sheet</w:t>
            </w:r>
          </w:p>
        </w:tc>
      </w:tr>
      <w:tr w:rsidR="0083618B" w14:paraId="1F21B45E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A473" w14:textId="1CB5029E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10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 xml:space="preserve">Risk and 6-month burden of hospitalization, at least one sequela, and sequelae </w:t>
            </w:r>
            <w:r>
              <w:rPr>
                <w:rFonts w:ascii="Arial" w:hAnsi="Arial" w:cs="Arial"/>
                <w:color w:val="000000"/>
              </w:rPr>
              <w:lastRenderedPageBreak/>
              <w:t>by organ system in those with three or more SARS-CoV-2 infections compared to the non-infected control.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4A02D" w14:textId="487B0114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Excel sheet </w:t>
            </w:r>
          </w:p>
        </w:tc>
      </w:tr>
      <w:tr w:rsidR="0083618B" w14:paraId="43A438FF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75A59" w14:textId="0A79DB51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11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>Risk and 6-month burden of hospitalization, at least one sequela, and sequelae by organ system in those with two SARS-CoV-2 infections compared to those with first SARS-CoV-2 infection.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1D5CE" w14:textId="24E017A9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 sheet</w:t>
            </w:r>
          </w:p>
        </w:tc>
      </w:tr>
      <w:tr w:rsidR="0083618B" w14:paraId="04A2D8BD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5D77" w14:textId="36191A54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12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>Risk and 6-month burden of hospitalization, at least one sequela, and sequelae by organ system in those with three or more SARS-CoV-2 infections compared to those with first SARS-CoV-2 infection.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D5501" w14:textId="761A4651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Excel sheet </w:t>
            </w:r>
          </w:p>
        </w:tc>
      </w:tr>
      <w:tr w:rsidR="0083618B" w14:paraId="65EA4F0C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4EAC1" w14:textId="667EF837" w:rsidR="0083618B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13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>
              <w:rPr>
                <w:rFonts w:ascii="Arial" w:hAnsi="Arial" w:cs="Arial"/>
                <w:color w:val="000000"/>
              </w:rPr>
              <w:t>Risk and 6-month burden of hospitalization, at least one sequela, and sequelae by organ system in those with three or more SARS-CoV-2 infections compared to those with two SARS-CoV-2 infections.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D97C" w14:textId="34E51DF7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 sheet</w:t>
            </w:r>
          </w:p>
        </w:tc>
      </w:tr>
      <w:tr w:rsidR="0083618B" w14:paraId="7A1428EC" w14:textId="77777777" w:rsidTr="00476B2F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96689" w14:textId="1326DD32" w:rsidR="0083618B" w:rsidRPr="002233B2" w:rsidRDefault="0083618B" w:rsidP="0083618B">
            <w:pPr>
              <w:spacing w:line="240" w:lineRule="auto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Supplementary Table 14</w:t>
            </w:r>
            <w:r>
              <w:rPr>
                <w:rFonts w:ascii="Arial" w:hAnsi="Arial" w:cs="Arial"/>
                <w:b/>
                <w:bCs/>
                <w:color w:val="000000"/>
              </w:rPr>
              <w:br/>
            </w:r>
            <w:r w:rsidR="00FF209A">
              <w:rPr>
                <w:rFonts w:ascii="Arial" w:hAnsi="Arial" w:cs="Arial"/>
                <w:color w:val="000000"/>
              </w:rPr>
              <w:t xml:space="preserve">Organ system disorder </w:t>
            </w:r>
            <w:r w:rsidR="00500F02">
              <w:rPr>
                <w:rFonts w:ascii="Arial" w:hAnsi="Arial" w:cs="Arial"/>
                <w:color w:val="000000"/>
              </w:rPr>
              <w:t>definitions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F35E9" w14:textId="65F592C6" w:rsidR="0083618B" w:rsidRDefault="0083618B" w:rsidP="0083618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 sheet</w:t>
            </w:r>
          </w:p>
        </w:tc>
      </w:tr>
    </w:tbl>
    <w:p w14:paraId="00DFDEAB" w14:textId="76A83ED0" w:rsidR="009506D3" w:rsidRDefault="009506D3"/>
    <w:p w14:paraId="2F7EA361" w14:textId="284E96C8" w:rsidR="00612C81" w:rsidRDefault="00612C81"/>
    <w:p w14:paraId="69FB48A0" w14:textId="681E1763" w:rsidR="00612C81" w:rsidRDefault="00612C81"/>
    <w:p w14:paraId="65741511" w14:textId="315920CB" w:rsidR="00612C81" w:rsidRDefault="00612C81"/>
    <w:p w14:paraId="434BC9A3" w14:textId="4D834D67" w:rsidR="00612C81" w:rsidRDefault="00612C81"/>
    <w:p w14:paraId="413D446E" w14:textId="66770BE5" w:rsidR="00612C81" w:rsidRDefault="00612C81"/>
    <w:p w14:paraId="00104B87" w14:textId="0C2E2CC6" w:rsidR="00612C81" w:rsidRDefault="00612C81"/>
    <w:p w14:paraId="62785A48" w14:textId="3E2C660D" w:rsidR="00612C81" w:rsidRDefault="00612C81"/>
    <w:p w14:paraId="4853C595" w14:textId="50CFBC32" w:rsidR="00612C81" w:rsidRDefault="00612C81"/>
    <w:p w14:paraId="4C73A68D" w14:textId="0BC947A4" w:rsidR="00612C81" w:rsidRDefault="00612C81"/>
    <w:p w14:paraId="43CE1EF1" w14:textId="5585DE83" w:rsidR="00612C81" w:rsidRDefault="00612C81"/>
    <w:p w14:paraId="0BB63510" w14:textId="681E68BF" w:rsidR="00612C81" w:rsidRDefault="00612C81"/>
    <w:p w14:paraId="71A56198" w14:textId="709DE7DF" w:rsidR="00612C81" w:rsidRDefault="00612C81"/>
    <w:p w14:paraId="74D54654" w14:textId="34F7E925" w:rsidR="00612C81" w:rsidRDefault="00612C81"/>
    <w:p w14:paraId="25B8082F" w14:textId="201EC174" w:rsidR="00612C81" w:rsidRDefault="00612C81"/>
    <w:p w14:paraId="56F03277" w14:textId="5E8236CA" w:rsidR="00612C81" w:rsidRDefault="00612C81"/>
    <w:p w14:paraId="447CD32D" w14:textId="03BE3F7E" w:rsidR="00114AA2" w:rsidRDefault="00114AA2"/>
    <w:p w14:paraId="34966598" w14:textId="77777777" w:rsidR="00114AA2" w:rsidRDefault="00114AA2"/>
    <w:p w14:paraId="6B201D25" w14:textId="4A0B0848" w:rsidR="00612C81" w:rsidRDefault="00612C81"/>
    <w:p w14:paraId="2449851B" w14:textId="33841335" w:rsidR="00612C81" w:rsidRDefault="00612C81"/>
    <w:p w14:paraId="6CE1AD25" w14:textId="405F5640" w:rsidR="00612C81" w:rsidRDefault="00612C81">
      <w:r>
        <w:rPr>
          <w:rFonts w:ascii="Arial" w:hAnsi="Arial" w:cs="Arial"/>
          <w:b/>
          <w:bCs/>
        </w:rPr>
        <w:lastRenderedPageBreak/>
        <w:t>Supplementary Figure 1:</w:t>
      </w:r>
      <w:r>
        <w:rPr>
          <w:rFonts w:ascii="Arial" w:hAnsi="Arial" w:cs="Arial"/>
        </w:rPr>
        <w:t xml:space="preserve"> Standardized mean differences between </w:t>
      </w:r>
      <w:r w:rsidR="0027180E">
        <w:rPr>
          <w:rFonts w:ascii="Arial" w:hAnsi="Arial" w:cs="Arial"/>
        </w:rPr>
        <w:t xml:space="preserve">SARS-CoV-2 reinfection and first infection before and after weighting. </w:t>
      </w:r>
      <w:r w:rsidR="00114AA2">
        <w:rPr>
          <w:rFonts w:ascii="Arial" w:hAnsi="Arial" w:cs="Arial"/>
          <w:noProof/>
        </w:rPr>
        <w:drawing>
          <wp:inline distT="0" distB="0" distL="0" distR="0" wp14:anchorId="18532EE1" wp14:editId="4A3A2449">
            <wp:extent cx="6371826" cy="82391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350" cy="8241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5CCEF" w14:textId="59D3C8AF" w:rsidR="00612C81" w:rsidRDefault="00612C81"/>
    <w:p w14:paraId="20FA08A5" w14:textId="79E1B7E4" w:rsidR="00114AA2" w:rsidRDefault="00114AA2" w:rsidP="00114AA2">
      <w:r>
        <w:rPr>
          <w:rFonts w:ascii="Arial" w:hAnsi="Arial" w:cs="Arial"/>
          <w:b/>
          <w:bCs/>
        </w:rPr>
        <w:lastRenderedPageBreak/>
        <w:t>Supplementary Figure 2:</w:t>
      </w:r>
      <w:r>
        <w:rPr>
          <w:rFonts w:ascii="Arial" w:hAnsi="Arial" w:cs="Arial"/>
        </w:rPr>
        <w:t xml:space="preserve"> Standardized mean differences between those with </w:t>
      </w:r>
      <w:r w:rsidR="0027180E">
        <w:rPr>
          <w:rFonts w:ascii="Arial" w:hAnsi="Arial" w:cs="Arial"/>
        </w:rPr>
        <w:t>first infection</w:t>
      </w:r>
      <w:r>
        <w:rPr>
          <w:rFonts w:ascii="Arial" w:hAnsi="Arial" w:cs="Arial"/>
        </w:rPr>
        <w:t>, two</w:t>
      </w:r>
      <w:r w:rsidR="0027180E">
        <w:rPr>
          <w:rFonts w:ascii="Arial" w:hAnsi="Arial" w:cs="Arial"/>
        </w:rPr>
        <w:t xml:space="preserve"> infections</w:t>
      </w:r>
      <w:r>
        <w:rPr>
          <w:rFonts w:ascii="Arial" w:hAnsi="Arial" w:cs="Arial"/>
        </w:rPr>
        <w:t>, and three or more infections and a non-infected</w:t>
      </w:r>
      <w:r w:rsidR="0027180E">
        <w:rPr>
          <w:rFonts w:ascii="Arial" w:hAnsi="Arial" w:cs="Arial"/>
        </w:rPr>
        <w:t xml:space="preserve"> control</w:t>
      </w:r>
      <w:r>
        <w:rPr>
          <w:rFonts w:ascii="Arial" w:hAnsi="Arial" w:cs="Arial"/>
        </w:rPr>
        <w:t xml:space="preserve"> before and after weighting.</w:t>
      </w:r>
      <w:r w:rsidRPr="00114AA2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419E01E9" wp14:editId="118E40D9">
            <wp:extent cx="6497053" cy="8401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053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09806" w14:textId="77777777" w:rsidR="00334973" w:rsidRDefault="00334973">
      <w:pPr>
        <w:rPr>
          <w:rFonts w:ascii="Arial" w:hAnsi="Arial" w:cs="Arial"/>
          <w:b/>
          <w:bCs/>
        </w:rPr>
      </w:pPr>
    </w:p>
    <w:p w14:paraId="33364EE9" w14:textId="306752A0" w:rsidR="00114AA2" w:rsidRDefault="00114AA2">
      <w:pPr>
        <w:rPr>
          <w:rFonts w:ascii="Arial" w:hAnsi="Arial" w:cs="Arial"/>
        </w:rPr>
      </w:pPr>
      <w:r w:rsidRPr="00114AA2">
        <w:rPr>
          <w:rFonts w:ascii="Arial" w:hAnsi="Arial" w:cs="Arial"/>
          <w:b/>
          <w:bCs/>
        </w:rPr>
        <w:lastRenderedPageBreak/>
        <w:t>Supplementary Figure 3:</w:t>
      </w:r>
      <w:r w:rsidRPr="00114AA2">
        <w:rPr>
          <w:rFonts w:ascii="Arial" w:hAnsi="Arial" w:cs="Arial"/>
        </w:rPr>
        <w:t xml:space="preserve"> Cohort flowchart.</w:t>
      </w:r>
    </w:p>
    <w:p w14:paraId="06D99CB2" w14:textId="404440A2" w:rsidR="00E34F0F" w:rsidRPr="00114AA2" w:rsidRDefault="00500F02" w:rsidP="00E34F0F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5705CCC" wp14:editId="2550E5F4">
            <wp:extent cx="6083929" cy="6733784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l="27994" r="33597" b="24425"/>
                    <a:stretch/>
                  </pic:blipFill>
                  <pic:spPr bwMode="auto">
                    <a:xfrm>
                      <a:off x="0" y="0"/>
                      <a:ext cx="6096585" cy="67477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46C018" w14:textId="3B29CA8A" w:rsidR="00612C81" w:rsidRDefault="00612C81" w:rsidP="00114AA2">
      <w:pPr>
        <w:jc w:val="center"/>
      </w:pPr>
    </w:p>
    <w:p w14:paraId="5DC6E644" w14:textId="77777777" w:rsidR="00CE1A07" w:rsidRDefault="00CE1A07" w:rsidP="00114AA2">
      <w:pPr>
        <w:rPr>
          <w:rFonts w:ascii="Arial" w:hAnsi="Arial" w:cs="Arial"/>
          <w:b/>
          <w:bCs/>
        </w:rPr>
        <w:sectPr w:rsidR="00CE1A07" w:rsidSect="00612C8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4CE9E11" w14:textId="57F45C6E" w:rsidR="00114AA2" w:rsidRPr="00644FA3" w:rsidRDefault="00114AA2" w:rsidP="00114AA2">
      <w:r w:rsidRPr="00114AA2">
        <w:rPr>
          <w:rFonts w:ascii="Arial" w:hAnsi="Arial" w:cs="Arial"/>
          <w:b/>
          <w:bCs/>
        </w:rPr>
        <w:lastRenderedPageBreak/>
        <w:t xml:space="preserve">Supplementary Figure </w:t>
      </w:r>
      <w:r>
        <w:rPr>
          <w:rFonts w:ascii="Arial" w:hAnsi="Arial" w:cs="Arial"/>
          <w:b/>
          <w:bCs/>
        </w:rPr>
        <w:t>4</w:t>
      </w:r>
      <w:r w:rsidRPr="00114AA2">
        <w:rPr>
          <w:rFonts w:ascii="Arial" w:hAnsi="Arial" w:cs="Arial"/>
          <w:b/>
          <w:bCs/>
        </w:rPr>
        <w:t>:</w:t>
      </w:r>
      <w:r w:rsidR="002964A9">
        <w:rPr>
          <w:rFonts w:ascii="Arial" w:hAnsi="Arial" w:cs="Arial"/>
          <w:b/>
          <w:bCs/>
        </w:rPr>
        <w:t xml:space="preserve"> </w:t>
      </w:r>
      <w:r w:rsidR="002964A9">
        <w:rPr>
          <w:rFonts w:ascii="Arial" w:hAnsi="Arial" w:cs="Arial"/>
        </w:rPr>
        <w:t>Timeline of analyses for risk and burden assessment comparing reinfection to first infection.</w:t>
      </w:r>
      <w:r w:rsidR="00644FA3">
        <w:rPr>
          <w:rFonts w:ascii="Arial" w:hAnsi="Arial" w:cs="Arial"/>
        </w:rPr>
        <w:t xml:space="preserve"> Timelines are plotted for the first infection and reinfection </w:t>
      </w:r>
      <w:r w:rsidR="00AA3FBA">
        <w:rPr>
          <w:rFonts w:ascii="Arial" w:hAnsi="Arial" w:cs="Arial"/>
        </w:rPr>
        <w:t>cohorts</w:t>
      </w:r>
      <w:r w:rsidR="00644FA3">
        <w:rPr>
          <w:rFonts w:ascii="Arial" w:hAnsi="Arial" w:cs="Arial"/>
        </w:rPr>
        <w:t>. Cohort participant characteristics were balanced at T</w:t>
      </w:r>
      <w:r w:rsidR="00644FA3">
        <w:rPr>
          <w:rFonts w:ascii="Arial" w:hAnsi="Arial" w:cs="Arial"/>
          <w:vertAlign w:val="subscript"/>
        </w:rPr>
        <w:t>0</w:t>
      </w:r>
      <w:r w:rsidR="00644FA3">
        <w:rPr>
          <w:rFonts w:ascii="Arial" w:hAnsi="Arial" w:cs="Arial"/>
        </w:rPr>
        <w:t>, the date of their first infection. Risk and burdens were then estimated in the 180 days following T</w:t>
      </w:r>
      <w:r w:rsidR="00644FA3">
        <w:rPr>
          <w:rFonts w:ascii="Arial" w:hAnsi="Arial" w:cs="Arial"/>
          <w:vertAlign w:val="subscript"/>
        </w:rPr>
        <w:t>1</w:t>
      </w:r>
      <w:r w:rsidR="00644FA3">
        <w:rPr>
          <w:rFonts w:ascii="Arial" w:hAnsi="Arial" w:cs="Arial"/>
        </w:rPr>
        <w:t>, the date of reinfection, in comparison to a similar T</w:t>
      </w:r>
      <w:r w:rsidR="00644FA3">
        <w:rPr>
          <w:rFonts w:ascii="Arial" w:hAnsi="Arial" w:cs="Arial"/>
          <w:vertAlign w:val="subscript"/>
        </w:rPr>
        <w:t>1</w:t>
      </w:r>
      <w:r w:rsidR="00644FA3">
        <w:rPr>
          <w:rFonts w:ascii="Arial" w:hAnsi="Arial" w:cs="Arial"/>
        </w:rPr>
        <w:t xml:space="preserve"> in the first infection group.</w:t>
      </w:r>
    </w:p>
    <w:p w14:paraId="79790057" w14:textId="2B3B57F5" w:rsidR="00114AA2" w:rsidRDefault="007E1527" w:rsidP="00114AA2">
      <w:pPr>
        <w:jc w:val="center"/>
      </w:pPr>
      <w:r>
        <w:rPr>
          <w:noProof/>
        </w:rPr>
        <w:drawing>
          <wp:inline distT="0" distB="0" distL="0" distR="0" wp14:anchorId="1EAA28B3" wp14:editId="684481F8">
            <wp:extent cx="8680243" cy="4707802"/>
            <wp:effectExtent l="0" t="0" r="6985" b="0"/>
            <wp:docPr id="9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2852" r="14337" b="20154"/>
                    <a:stretch/>
                  </pic:blipFill>
                  <pic:spPr bwMode="auto">
                    <a:xfrm>
                      <a:off x="0" y="0"/>
                      <a:ext cx="8732796" cy="47363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7C70E" w14:textId="1CDC4199" w:rsidR="00114AA2" w:rsidRDefault="00114AA2" w:rsidP="00114AA2">
      <w:pPr>
        <w:jc w:val="center"/>
      </w:pPr>
    </w:p>
    <w:p w14:paraId="48CD586F" w14:textId="08C6699A" w:rsidR="00114AA2" w:rsidRDefault="00114AA2" w:rsidP="00114AA2">
      <w:pPr>
        <w:jc w:val="center"/>
      </w:pPr>
    </w:p>
    <w:p w14:paraId="192AC627" w14:textId="77777777" w:rsidR="00114AA2" w:rsidRDefault="00114AA2" w:rsidP="00114AA2">
      <w:pPr>
        <w:rPr>
          <w:rFonts w:ascii="Arial" w:hAnsi="Arial" w:cs="Arial"/>
          <w:b/>
          <w:bCs/>
        </w:rPr>
        <w:sectPr w:rsidR="00114AA2" w:rsidSect="00CE1A07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CD276A7" w14:textId="7464EDCD" w:rsidR="00114AA2" w:rsidRPr="00114AA2" w:rsidRDefault="00114AA2" w:rsidP="00114AA2">
      <w:pPr>
        <w:rPr>
          <w:rFonts w:ascii="Arial" w:hAnsi="Arial" w:cs="Arial"/>
        </w:rPr>
      </w:pPr>
      <w:r w:rsidRPr="00114AA2">
        <w:rPr>
          <w:rFonts w:ascii="Arial" w:hAnsi="Arial" w:cs="Arial"/>
          <w:b/>
          <w:bCs/>
        </w:rPr>
        <w:lastRenderedPageBreak/>
        <w:t xml:space="preserve">Supplementary Figure </w:t>
      </w:r>
      <w:r>
        <w:rPr>
          <w:rFonts w:ascii="Arial" w:hAnsi="Arial" w:cs="Arial"/>
          <w:b/>
          <w:bCs/>
        </w:rPr>
        <w:t>5</w:t>
      </w:r>
      <w:r w:rsidRPr="00114AA2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Timeline of analyses for risk and burden assessment </w:t>
      </w:r>
      <w:r w:rsidR="002964A9">
        <w:rPr>
          <w:rFonts w:ascii="Arial" w:hAnsi="Arial" w:cs="Arial"/>
        </w:rPr>
        <w:t>by number of infections.</w:t>
      </w:r>
      <w:r w:rsidR="00644FA3">
        <w:rPr>
          <w:rFonts w:ascii="Arial" w:hAnsi="Arial" w:cs="Arial"/>
        </w:rPr>
        <w:t xml:space="preserve"> Timelines are plotted for the non-infected control, and in those with one, two, and three or more infections. Cohort participant characteristics were balanced at T</w:t>
      </w:r>
      <w:r w:rsidR="00644FA3">
        <w:rPr>
          <w:rFonts w:ascii="Arial" w:hAnsi="Arial" w:cs="Arial"/>
          <w:vertAlign w:val="subscript"/>
        </w:rPr>
        <w:t>0</w:t>
      </w:r>
      <w:r w:rsidR="00644FA3">
        <w:rPr>
          <w:rFonts w:ascii="Arial" w:hAnsi="Arial" w:cs="Arial"/>
        </w:rPr>
        <w:t xml:space="preserve">, the date of their first infection. Risk and burdens were then estimated in the 180 days following the acute phase of the first infection (or corresponding time in the non-infected control). </w:t>
      </w:r>
    </w:p>
    <w:p w14:paraId="08D878C6" w14:textId="4AC91EA7" w:rsidR="00114AA2" w:rsidRDefault="007E1527" w:rsidP="00114AA2">
      <w:pPr>
        <w:jc w:val="center"/>
      </w:pPr>
      <w:r>
        <w:rPr>
          <w:noProof/>
        </w:rPr>
        <w:drawing>
          <wp:inline distT="0" distB="0" distL="0" distR="0" wp14:anchorId="20A9B80C" wp14:editId="3064DD53">
            <wp:extent cx="8470222" cy="4861711"/>
            <wp:effectExtent l="0" t="0" r="7620" b="0"/>
            <wp:docPr id="8" name="Graphic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4040" r="14812" b="17197"/>
                    <a:stretch/>
                  </pic:blipFill>
                  <pic:spPr bwMode="auto">
                    <a:xfrm>
                      <a:off x="0" y="0"/>
                      <a:ext cx="8479888" cy="4867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14AA2" w:rsidSect="00114AA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3B9"/>
    <w:rsid w:val="000030F3"/>
    <w:rsid w:val="00114AA2"/>
    <w:rsid w:val="001915BC"/>
    <w:rsid w:val="002233B2"/>
    <w:rsid w:val="0027180E"/>
    <w:rsid w:val="002964A9"/>
    <w:rsid w:val="002C63B9"/>
    <w:rsid w:val="00334973"/>
    <w:rsid w:val="00500F02"/>
    <w:rsid w:val="00612C81"/>
    <w:rsid w:val="00644FA3"/>
    <w:rsid w:val="007E1527"/>
    <w:rsid w:val="0083618B"/>
    <w:rsid w:val="009506D3"/>
    <w:rsid w:val="00A35E8C"/>
    <w:rsid w:val="00AA3FBA"/>
    <w:rsid w:val="00CE1A07"/>
    <w:rsid w:val="00E34F0F"/>
    <w:rsid w:val="00FF2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169C9"/>
  <w15:chartTrackingRefBased/>
  <w15:docId w15:val="{9ECC004F-F61E-48F4-B367-584FA9D30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C8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2C81"/>
    <w:pPr>
      <w:spacing w:after="0" w:line="240" w:lineRule="auto"/>
    </w:pPr>
  </w:style>
  <w:style w:type="table" w:styleId="TableGrid">
    <w:name w:val="Table Grid"/>
    <w:basedOn w:val="TableNormal"/>
    <w:uiPriority w:val="39"/>
    <w:rsid w:val="00612C8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12C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C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C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C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C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Bowe, Benjamin   (STL)</dc:creator>
  <cp:keywords/>
  <dc:description/>
  <cp:lastModifiedBy>Bowe, Benjamin   (STL)</cp:lastModifiedBy>
  <cp:revision>16</cp:revision>
  <dcterms:created xsi:type="dcterms:W3CDTF">2022-06-09T21:20:00Z</dcterms:created>
  <dcterms:modified xsi:type="dcterms:W3CDTF">2022-06-11T22:51:00Z</dcterms:modified>
</cp:coreProperties>
</file>