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000000"/>
          <w:lang w:bidi="ar"/>
        </w:rPr>
        <w:t>Figure S</w:t>
      </w:r>
      <w:r>
        <w:rPr>
          <w:rFonts w:hint="eastAsia" w:ascii="Times New Roman" w:hAnsi="Times New Roman" w:cs="Times New Roman"/>
          <w:b/>
          <w:bCs/>
          <w:color w:val="000000"/>
          <w:lang w:val="en-US" w:eastAsia="zh-CN" w:bidi="ar"/>
        </w:rPr>
        <w:t>1</w:t>
      </w:r>
      <w:r>
        <w:rPr>
          <w:rFonts w:hint="default" w:ascii="Times New Roman" w:hAnsi="Times New Roman" w:cs="Times New Roman"/>
          <w:b/>
          <w:bCs/>
          <w:color w:val="000000"/>
          <w:lang w:bidi="ar"/>
        </w:rPr>
        <w:t>.</w:t>
      </w:r>
      <w:r>
        <w:rPr>
          <w:rFonts w:hint="default" w:ascii="Times New Roman" w:hAnsi="Times New Roman" w:cs="Times New Roman"/>
          <w:color w:val="000000"/>
          <w:lang w:bidi="ar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lang w:bidi="ar"/>
        </w:rPr>
        <w:t>A</w:t>
      </w:r>
      <w:r>
        <w:rPr>
          <w:rFonts w:hint="default" w:ascii="Times New Roman" w:hAnsi="Times New Roman" w:cs="Times New Roman"/>
          <w:color w:val="000000"/>
          <w:lang w:bidi="ar"/>
        </w:rPr>
        <w:t>.</w:t>
      </w:r>
      <w:r>
        <w:rPr>
          <w:rFonts w:hint="default" w:ascii="Times New Roman" w:hAnsi="Times New Roman" w:cs="Times New Roman"/>
          <w:b/>
          <w:bCs/>
          <w:color w:val="000000"/>
          <w:lang w:bidi="ar"/>
        </w:rPr>
        <w:t xml:space="preserve"> </w:t>
      </w:r>
      <w:r>
        <w:rPr>
          <w:rFonts w:hint="default" w:ascii="Times New Roman" w:hAnsi="Times New Roman" w:cs="Times New Roman"/>
          <w:color w:val="000000"/>
          <w:lang w:bidi="ar"/>
        </w:rPr>
        <w:t>Heatmap for immune responses based on CIBERSORT, ESTIMATE, quanTIseq, xCell, MCP-counter, EPIC, and TIMER algorithms among the high and low-risk groups.</w:t>
      </w:r>
      <w:r>
        <w:rPr>
          <w:rFonts w:hint="default" w:ascii="Times New Roman" w:hAnsi="Times New Roman" w:cs="Times New Roman"/>
          <w:b/>
          <w:bCs/>
          <w:color w:val="000000"/>
          <w:lang w:bidi="ar"/>
        </w:rPr>
        <w:t xml:space="preserve"> B</w:t>
      </w:r>
      <w:r>
        <w:rPr>
          <w:rFonts w:hint="default" w:ascii="Times New Roman" w:hAnsi="Times New Roman" w:cs="Times New Roman"/>
          <w:color w:val="000000"/>
          <w:lang w:bidi="ar"/>
        </w:rPr>
        <w:t xml:space="preserve">. The correlation between immune cell subpopulations and related functions was evaluated using ssGSEA. </w:t>
      </w:r>
      <w:r>
        <w:rPr>
          <w:rFonts w:hint="default" w:ascii="Times New Roman" w:hAnsi="Times New Roman" w:cs="Times New Roman"/>
          <w:b/>
          <w:bCs/>
          <w:color w:val="000000"/>
          <w:lang w:bidi="ar"/>
        </w:rPr>
        <w:t>C</w:t>
      </w:r>
      <w:r>
        <w:rPr>
          <w:rFonts w:hint="default" w:ascii="Times New Roman" w:hAnsi="Times New Roman" w:cs="Times New Roman"/>
          <w:color w:val="000000"/>
          <w:lang w:bidi="ar"/>
        </w:rPr>
        <w:t xml:space="preserve">. Expression of common immune checkpoints between the high and low-risk HCC patients. </w:t>
      </w: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000000"/>
          <w:lang w:bidi="ar"/>
        </w:rPr>
        <w:t>Figure S</w:t>
      </w:r>
      <w:r>
        <w:rPr>
          <w:rFonts w:hint="eastAsia" w:ascii="Times New Roman" w:hAnsi="Times New Roman" w:cs="Times New Roman"/>
          <w:b/>
          <w:bCs/>
          <w:color w:val="000000"/>
          <w:lang w:val="en-US" w:eastAsia="zh-CN" w:bidi="ar"/>
        </w:rPr>
        <w:t>2</w:t>
      </w:r>
      <w:r>
        <w:rPr>
          <w:rFonts w:hint="default" w:ascii="Times New Roman" w:hAnsi="Times New Roman" w:cs="Times New Roman"/>
          <w:b/>
          <w:bCs/>
          <w:color w:val="000000"/>
          <w:lang w:bidi="ar"/>
        </w:rPr>
        <w:t xml:space="preserve">. A-C. </w:t>
      </w:r>
      <w:r>
        <w:rPr>
          <w:rFonts w:hint="default" w:ascii="Times New Roman" w:hAnsi="Times New Roman" w:cs="Times New Roman"/>
        </w:rPr>
        <w:t xml:space="preserve">Overall survival of HCC patients (N=362) from the Gepia project with high or low expression levels. </w:t>
      </w:r>
      <w:r>
        <w:rPr>
          <w:rFonts w:hint="default" w:ascii="Times New Roman" w:hAnsi="Times New Roman" w:cs="Times New Roman"/>
          <w:b/>
          <w:bCs/>
        </w:rPr>
        <w:t>D</w:t>
      </w:r>
      <w:r>
        <w:rPr>
          <w:rFonts w:hint="default" w:ascii="Times New Roman" w:hAnsi="Times New Roman" w:cs="Times New Roman"/>
        </w:rPr>
        <w:t xml:space="preserve">. The protein-coding potential analysis of NRAV was performed using the ORF finder from NCBI. </w:t>
      </w:r>
      <w:r>
        <w:rPr>
          <w:rFonts w:hint="default" w:ascii="Times New Roman" w:hAnsi="Times New Roman" w:cs="Times New Roman"/>
          <w:b/>
          <w:bCs/>
        </w:rPr>
        <w:t>E</w:t>
      </w:r>
      <w:r>
        <w:rPr>
          <w:rFonts w:hint="default" w:ascii="Times New Roman" w:hAnsi="Times New Roman" w:cs="Times New Roman"/>
        </w:rPr>
        <w:t xml:space="preserve">. Using CPC 2.0 to predict the coding capability of NRAV. </w:t>
      </w: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YmE3NjFhZjU4MWNhODI2YjRiZjc2YTE0ZTYyNjEifQ=="/>
  </w:docVars>
  <w:rsids>
    <w:rsidRoot w:val="00000000"/>
    <w:rsid w:val="136C3D6C"/>
    <w:rsid w:val="206E3088"/>
    <w:rsid w:val="58334EF7"/>
    <w:rsid w:val="64AF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532</Characters>
  <Lines>0</Lines>
  <Paragraphs>0</Paragraphs>
  <TotalTime>0</TotalTime>
  <ScaleCrop>false</ScaleCrop>
  <LinksUpToDate>false</LinksUpToDate>
  <CharactersWithSpaces>628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2022-07-27T07:31:00Z</dcterms:created>
  <dc:creator>是珍珍啊</dc:creator>
  <cp:lastModifiedBy>剑飞</cp:lastModifiedBy>
  <dcterms:modified xsi:type="dcterms:W3CDTF">2022-08-10T13:46:18Z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BE1654549F4A4470BDB860B79FD5231E</vt:lpwstr>
  </property>
</Properties>
</file>