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Figure S3.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A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-B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 xml:space="preserve">.Gene enrichment analysis.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Heatmap for immune responses based on CIBERSORT, ESTIMATE, quanTIseq, xCell, MCP-counter, EPIC, and TIMER algorithms among the high and low-risk group.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D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 xml:space="preserve">. The correlation between immune cell subpopulations and related functions were evaluated using ssGSEA.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E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. Expression of common immune checkpoints between the high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 xml:space="preserve">and low-risk HCC patients. </w:t>
      </w:r>
    </w:p>
    <w:p/>
    <w:p>
      <w:pPr>
        <w:widowControl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Figure 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4. A-D. </w:t>
      </w:r>
      <w:r>
        <w:rPr>
          <w:rFonts w:hint="eastAsia" w:ascii="Times New Roman" w:hAnsi="Times New Roman" w:eastAsia="宋体" w:cs="Times New Roman"/>
          <w:sz w:val="24"/>
        </w:rPr>
        <w:t xml:space="preserve">Overall survival and DFS of HCC patients (N=362) from TCGA project with high or low LINC01224 and MKLN1-AS expression levels. </w:t>
      </w:r>
      <w:r>
        <w:rPr>
          <w:rFonts w:hint="eastAsia" w:ascii="Times New Roman" w:hAnsi="Times New Roman" w:eastAsia="宋体" w:cs="Times New Roman"/>
          <w:b/>
          <w:bCs/>
          <w:sz w:val="24"/>
        </w:rPr>
        <w:t>E</w:t>
      </w:r>
      <w:r>
        <w:rPr>
          <w:rFonts w:hint="eastAsia" w:ascii="Times New Roman" w:hAnsi="Times New Roman" w:eastAsia="宋体" w:cs="Times New Roman"/>
          <w:sz w:val="24"/>
        </w:rPr>
        <w:t xml:space="preserve">. The protein-coding potential analysis of NRAV was performed using </w:t>
      </w:r>
      <w:r>
        <w:rPr>
          <w:rFonts w:ascii="Times New Roman" w:hAnsi="Times New Roman" w:eastAsia="宋体" w:cs="Times New Roman"/>
          <w:sz w:val="24"/>
        </w:rPr>
        <w:t xml:space="preserve">the </w:t>
      </w:r>
      <w:r>
        <w:rPr>
          <w:rFonts w:hint="eastAsia" w:ascii="Times New Roman" w:hAnsi="Times New Roman" w:eastAsia="宋体" w:cs="Times New Roman"/>
          <w:sz w:val="24"/>
        </w:rPr>
        <w:t xml:space="preserve">ORF finder from NCBI. </w:t>
      </w:r>
      <w:r>
        <w:rPr>
          <w:rFonts w:hint="eastAsia" w:ascii="Times New Roman" w:hAnsi="Times New Roman" w:eastAsia="宋体" w:cs="Times New Roman"/>
          <w:b/>
          <w:bCs/>
          <w:sz w:val="24"/>
        </w:rPr>
        <w:t>F</w:t>
      </w:r>
      <w:r>
        <w:rPr>
          <w:rFonts w:hint="eastAsia" w:ascii="Times New Roman" w:hAnsi="Times New Roman" w:eastAsia="宋体" w:cs="Times New Roman"/>
          <w:sz w:val="24"/>
        </w:rPr>
        <w:t xml:space="preserve">. Using CPC 2.0 to predict the coding capability of NRAV.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mE3NjFhZjU4MWNhODI2YjRiZjc2YTE0ZTYyNjEifQ=="/>
  </w:docVars>
  <w:rsids>
    <w:rsidRoot w:val="00000000"/>
    <w:rsid w:val="718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2022-06-11T23:35:23Z</dcterms:created>
  <dc:creator>是珍珍啊</dc:creator>
  <cp:lastModifiedBy>剑飞</cp:lastModifiedBy>
  <dcterms:modified xsi:type="dcterms:W3CDTF">2022-06-11T23:35:37Z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37AF7CCABCDE493CA330A71790A3100A</vt:lpwstr>
  </property>
</Properties>
</file>