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13DD" w:rsidRPr="009D414F" w:rsidRDefault="009E13DD" w:rsidP="009E13DD">
      <w:pPr>
        <w:pStyle w:val="Overskrift1"/>
        <w:rPr>
          <w:lang w:val="en-GB" w:eastAsia="da-DK"/>
        </w:rPr>
      </w:pPr>
      <w:r w:rsidRPr="009D414F">
        <w:rPr>
          <w:lang w:val="en-GB" w:eastAsia="da-DK"/>
        </w:rPr>
        <w:t>Supplementary</w:t>
      </w:r>
    </w:p>
    <w:p w:rsidR="009E13DD" w:rsidRPr="009D414F" w:rsidRDefault="009E13DD" w:rsidP="009E13DD">
      <w:pPr>
        <w:pStyle w:val="Overskrift3"/>
        <w:rPr>
          <w:lang w:val="en-GB"/>
        </w:rPr>
      </w:pPr>
      <w:r w:rsidRPr="009D414F">
        <w:rPr>
          <w:lang w:val="en-GB"/>
        </w:rPr>
        <w:t>12.1 Acquisition and analysis of MRI data</w:t>
      </w:r>
    </w:p>
    <w:p w:rsidR="009E13DD" w:rsidRPr="009D414F" w:rsidRDefault="009E13DD" w:rsidP="009E13DD">
      <w:pPr>
        <w:rPr>
          <w:lang w:val="en-GB"/>
        </w:rPr>
      </w:pPr>
      <w:r w:rsidRPr="009D414F">
        <w:rPr>
          <w:lang w:val="en-GB"/>
        </w:rPr>
        <w:t xml:space="preserve">MRI was conducted using a Philips </w:t>
      </w:r>
      <w:r>
        <w:rPr>
          <w:lang w:val="en-US"/>
        </w:rPr>
        <w:t>Ingenia</w:t>
      </w:r>
      <w:r w:rsidRPr="009D414F">
        <w:rPr>
          <w:lang w:val="en-GB"/>
        </w:rPr>
        <w:t xml:space="preserve"> dStream 1.5 T whole body MR scanner (Philips Medical Systems, Best, Netherlands). The cardiac rhythm was monitored with an integrated 4-electrode electrocardiogram (ECG) system during the entire session. The ECG was used to synchronize data acquisition. Cine scanning (time-resolved imaging) was used to assess the </w:t>
      </w:r>
      <w:r>
        <w:rPr>
          <w:lang w:val="en-GB"/>
        </w:rPr>
        <w:t xml:space="preserve">right ventricular function </w:t>
      </w:r>
      <w:r w:rsidRPr="009D414F">
        <w:rPr>
          <w:lang w:val="en-GB"/>
        </w:rPr>
        <w:t>and right and left ventric</w:t>
      </w:r>
      <w:r>
        <w:rPr>
          <w:lang w:val="en-GB"/>
        </w:rPr>
        <w:t>uar</w:t>
      </w:r>
      <w:r w:rsidRPr="009D414F">
        <w:rPr>
          <w:lang w:val="en-GB"/>
        </w:rPr>
        <w:t xml:space="preserve"> geometry. A survey scan was performed followed by an ECG-triggered temporally resolved cine using a balanced steady-state free precession sequence during breath-hold. Pulmonary flow measurements were obtained using a free-breathing, ECG-triggered phase contrast sequence. Image parameters</w:t>
      </w:r>
      <w:r w:rsidRPr="0027483C">
        <w:rPr>
          <w:lang w:val="en-US"/>
        </w:rPr>
        <w:t xml:space="preserve"> </w:t>
      </w:r>
      <w:r>
        <w:rPr>
          <w:lang w:val="en-US"/>
        </w:rPr>
        <w:t>for the cine scans</w:t>
      </w:r>
      <w:r w:rsidRPr="009D414F">
        <w:rPr>
          <w:lang w:val="en-GB"/>
        </w:rPr>
        <w:t xml:space="preserve"> were: slice thickness 8 mm, slice gap 0 mm, repetition time/echo time/flip angle 3.1 ms/1.55 ms/60°, 350 × 350 mm field of view, 176 × 153 acquisition matrix, and 30 phases within one cardiac cycle. A stack of 3 long-axis slices were acquired for 4-chamber view, and for short-axis view a stack of 10-12 slices were acquired covering the entire right and left ventricle. </w:t>
      </w:r>
      <w:r w:rsidRPr="004A49A5">
        <w:rPr>
          <w:rFonts w:cs="Times New Roman"/>
          <w:color w:val="333333"/>
          <w:shd w:val="clear" w:color="auto" w:fill="FCFCFC"/>
          <w:lang w:val="en-US"/>
        </w:rPr>
        <w:t xml:space="preserve">The </w:t>
      </w:r>
      <w:r w:rsidRPr="00503093">
        <w:rPr>
          <w:rFonts w:cs="Times New Roman"/>
          <w:color w:val="333333"/>
          <w:shd w:val="clear" w:color="auto" w:fill="FCFCFC"/>
          <w:lang w:val="en-US"/>
        </w:rPr>
        <w:t>parameters</w:t>
      </w:r>
      <w:r>
        <w:rPr>
          <w:rFonts w:cs="Times New Roman"/>
          <w:color w:val="333333"/>
          <w:shd w:val="clear" w:color="auto" w:fill="FCFCFC"/>
          <w:lang w:val="en-US"/>
        </w:rPr>
        <w:t xml:space="preserve"> for the phase contrast sequence were</w:t>
      </w:r>
      <w:r w:rsidRPr="00503093">
        <w:rPr>
          <w:rFonts w:cs="Times New Roman"/>
          <w:color w:val="333333"/>
          <w:shd w:val="clear" w:color="auto" w:fill="FCFCFC"/>
          <w:lang w:val="en-US"/>
        </w:rPr>
        <w:t>: echo time (TE) = </w:t>
      </w:r>
      <w:r>
        <w:rPr>
          <w:rFonts w:cs="Times New Roman"/>
          <w:color w:val="333333"/>
          <w:shd w:val="clear" w:color="auto" w:fill="FCFCFC"/>
          <w:lang w:val="en-US"/>
        </w:rPr>
        <w:t>6</w:t>
      </w:r>
      <w:r w:rsidRPr="004A49A5">
        <w:rPr>
          <w:rFonts w:cs="Times New Roman"/>
          <w:color w:val="333333"/>
          <w:shd w:val="clear" w:color="auto" w:fill="FCFCFC"/>
          <w:lang w:val="en-US"/>
        </w:rPr>
        <w:t>.</w:t>
      </w:r>
      <w:r>
        <w:rPr>
          <w:rFonts w:cs="Times New Roman"/>
          <w:color w:val="333333"/>
          <w:shd w:val="clear" w:color="auto" w:fill="FCFCFC"/>
          <w:lang w:val="en-US"/>
        </w:rPr>
        <w:t>1</w:t>
      </w:r>
      <w:r w:rsidRPr="00503093">
        <w:rPr>
          <w:rFonts w:cs="Times New Roman"/>
          <w:color w:val="333333"/>
          <w:shd w:val="clear" w:color="auto" w:fill="FCFCFC"/>
          <w:lang w:val="en-US"/>
        </w:rPr>
        <w:t> ms, repetition time (TR) = </w:t>
      </w:r>
      <w:r>
        <w:rPr>
          <w:rFonts w:cs="Times New Roman"/>
          <w:color w:val="333333"/>
          <w:shd w:val="clear" w:color="auto" w:fill="FCFCFC"/>
          <w:lang w:val="en-US"/>
        </w:rPr>
        <w:t>9</w:t>
      </w:r>
      <w:r w:rsidRPr="004A49A5">
        <w:rPr>
          <w:rFonts w:cs="Times New Roman"/>
          <w:color w:val="333333"/>
          <w:shd w:val="clear" w:color="auto" w:fill="FCFCFC"/>
          <w:lang w:val="en-US"/>
        </w:rPr>
        <w:t>.</w:t>
      </w:r>
      <w:r>
        <w:rPr>
          <w:rFonts w:cs="Times New Roman"/>
          <w:color w:val="333333"/>
          <w:shd w:val="clear" w:color="auto" w:fill="FCFCFC"/>
          <w:lang w:val="en-US"/>
        </w:rPr>
        <w:t>3</w:t>
      </w:r>
      <w:r w:rsidRPr="00503093">
        <w:rPr>
          <w:rFonts w:cs="Times New Roman"/>
          <w:color w:val="333333"/>
          <w:shd w:val="clear" w:color="auto" w:fill="FCFCFC"/>
          <w:lang w:val="en-US"/>
        </w:rPr>
        <w:t> ms, phase percentage = </w:t>
      </w:r>
      <w:r>
        <w:rPr>
          <w:rFonts w:cs="Times New Roman"/>
          <w:color w:val="333333"/>
          <w:shd w:val="clear" w:color="auto" w:fill="FCFCFC"/>
          <w:lang w:val="en-US"/>
        </w:rPr>
        <w:t>1</w:t>
      </w:r>
      <w:r w:rsidRPr="00503093">
        <w:rPr>
          <w:rFonts w:cs="Times New Roman"/>
          <w:color w:val="333333"/>
          <w:shd w:val="clear" w:color="auto" w:fill="FCFCFC"/>
          <w:lang w:val="en-US"/>
        </w:rPr>
        <w:t>0</w:t>
      </w:r>
      <w:r>
        <w:rPr>
          <w:rFonts w:cs="Times New Roman"/>
          <w:color w:val="333333"/>
          <w:shd w:val="clear" w:color="auto" w:fill="FCFCFC"/>
          <w:lang w:val="en-US"/>
        </w:rPr>
        <w:t>7</w:t>
      </w:r>
      <w:r w:rsidRPr="00503093">
        <w:rPr>
          <w:rFonts w:cs="Times New Roman"/>
          <w:color w:val="333333"/>
          <w:shd w:val="clear" w:color="auto" w:fill="FCFCFC"/>
          <w:lang w:val="en-US"/>
        </w:rPr>
        <w:t> %, field of view (FOV) = </w:t>
      </w:r>
      <w:r w:rsidRPr="004A49A5">
        <w:rPr>
          <w:rFonts w:cs="Times New Roman"/>
          <w:color w:val="333333"/>
          <w:shd w:val="clear" w:color="auto" w:fill="FCFCFC"/>
          <w:lang w:val="en-US"/>
        </w:rPr>
        <w:t>3</w:t>
      </w:r>
      <w:r>
        <w:rPr>
          <w:rFonts w:cs="Times New Roman"/>
          <w:color w:val="333333"/>
          <w:shd w:val="clear" w:color="auto" w:fill="FCFCFC"/>
          <w:lang w:val="en-US"/>
        </w:rPr>
        <w:t>0</w:t>
      </w:r>
      <w:r w:rsidRPr="00503093">
        <w:rPr>
          <w:rFonts w:cs="Times New Roman"/>
          <w:color w:val="333333"/>
          <w:shd w:val="clear" w:color="auto" w:fill="FCFCFC"/>
          <w:lang w:val="en-US"/>
        </w:rPr>
        <w:t>0 mm</w:t>
      </w:r>
      <w:r>
        <w:rPr>
          <w:rFonts w:cs="Times New Roman"/>
          <w:color w:val="333333"/>
          <w:shd w:val="clear" w:color="auto" w:fill="FCFCFC"/>
          <w:lang w:val="en-US"/>
        </w:rPr>
        <w:t xml:space="preserve"> </w:t>
      </w:r>
      <w:r w:rsidRPr="0019207B">
        <w:rPr>
          <w:rFonts w:cs="Times New Roman"/>
          <w:color w:val="333333"/>
          <w:shd w:val="clear" w:color="auto" w:fill="FCFCFC"/>
          <w:lang w:val="en-US"/>
        </w:rPr>
        <w:t>× </w:t>
      </w:r>
      <w:r>
        <w:rPr>
          <w:rFonts w:cs="Times New Roman"/>
          <w:color w:val="333333"/>
          <w:shd w:val="clear" w:color="auto" w:fill="FCFCFC"/>
          <w:lang w:val="en-US"/>
        </w:rPr>
        <w:t>255 mm</w:t>
      </w:r>
      <w:r w:rsidRPr="00503093">
        <w:rPr>
          <w:rFonts w:cs="Times New Roman"/>
          <w:color w:val="333333"/>
          <w:shd w:val="clear" w:color="auto" w:fill="FCFCFC"/>
          <w:lang w:val="en-US"/>
        </w:rPr>
        <w:t>, matrix = </w:t>
      </w:r>
      <w:r w:rsidRPr="004A49A5">
        <w:rPr>
          <w:rFonts w:cs="Times New Roman"/>
          <w:color w:val="333333"/>
          <w:shd w:val="clear" w:color="auto" w:fill="FCFCFC"/>
          <w:lang w:val="en-US"/>
        </w:rPr>
        <w:t>1</w:t>
      </w:r>
      <w:r>
        <w:rPr>
          <w:rFonts w:cs="Times New Roman"/>
          <w:color w:val="333333"/>
          <w:shd w:val="clear" w:color="auto" w:fill="FCFCFC"/>
          <w:lang w:val="en-US"/>
        </w:rPr>
        <w:t>28</w:t>
      </w:r>
      <w:r w:rsidRPr="00503093">
        <w:rPr>
          <w:rFonts w:cs="Times New Roman"/>
          <w:color w:val="333333"/>
          <w:shd w:val="clear" w:color="auto" w:fill="FCFCFC"/>
          <w:lang w:val="en-US"/>
        </w:rPr>
        <w:t> × </w:t>
      </w:r>
      <w:r>
        <w:rPr>
          <w:rFonts w:cs="Times New Roman"/>
          <w:color w:val="333333"/>
          <w:shd w:val="clear" w:color="auto" w:fill="FCFCFC"/>
          <w:lang w:val="en-US"/>
        </w:rPr>
        <w:t>82</w:t>
      </w:r>
      <w:r w:rsidRPr="00503093">
        <w:rPr>
          <w:rFonts w:cs="Times New Roman"/>
          <w:color w:val="333333"/>
          <w:shd w:val="clear" w:color="auto" w:fill="FCFCFC"/>
          <w:lang w:val="en-US"/>
        </w:rPr>
        <w:t>, number of phases = 5</w:t>
      </w:r>
      <w:r>
        <w:rPr>
          <w:rFonts w:cs="Times New Roman"/>
          <w:color w:val="333333"/>
          <w:shd w:val="clear" w:color="auto" w:fill="FCFCFC"/>
          <w:lang w:val="en-US"/>
        </w:rPr>
        <w:t>0</w:t>
      </w:r>
      <w:r w:rsidRPr="00503093">
        <w:rPr>
          <w:rFonts w:cs="Times New Roman"/>
          <w:color w:val="333333"/>
          <w:shd w:val="clear" w:color="auto" w:fill="FCFCFC"/>
          <w:lang w:val="en-US"/>
        </w:rPr>
        <w:t>, number of excitations (NEX) = </w:t>
      </w:r>
      <w:r>
        <w:rPr>
          <w:rFonts w:cs="Times New Roman"/>
          <w:color w:val="333333"/>
          <w:shd w:val="clear" w:color="auto" w:fill="FCFCFC"/>
          <w:lang w:val="en-US"/>
        </w:rPr>
        <w:t>2</w:t>
      </w:r>
      <w:r w:rsidRPr="00503093">
        <w:rPr>
          <w:rFonts w:cs="Times New Roman"/>
          <w:color w:val="333333"/>
          <w:shd w:val="clear" w:color="auto" w:fill="FCFCFC"/>
          <w:lang w:val="en-US"/>
        </w:rPr>
        <w:t>, and slice thickness (ST) = </w:t>
      </w:r>
      <w:r>
        <w:rPr>
          <w:rFonts w:cs="Times New Roman"/>
          <w:color w:val="333333"/>
          <w:shd w:val="clear" w:color="auto" w:fill="FCFCFC"/>
          <w:lang w:val="en-US"/>
        </w:rPr>
        <w:t>7</w:t>
      </w:r>
      <w:r w:rsidRPr="00503093">
        <w:rPr>
          <w:rFonts w:cs="Times New Roman"/>
          <w:color w:val="333333"/>
          <w:shd w:val="clear" w:color="auto" w:fill="FCFCFC"/>
          <w:lang w:val="en-US"/>
        </w:rPr>
        <w:t> mm. To avoid aliasing, enc</w:t>
      </w:r>
      <w:r w:rsidRPr="004A49A5">
        <w:rPr>
          <w:rFonts w:cs="Times New Roman"/>
          <w:color w:val="333333"/>
          <w:shd w:val="clear" w:color="auto" w:fill="FCFCFC"/>
          <w:lang w:val="en-US"/>
        </w:rPr>
        <w:t>oding velocity was set to 1</w:t>
      </w:r>
      <w:r>
        <w:rPr>
          <w:rFonts w:cs="Times New Roman"/>
          <w:color w:val="333333"/>
          <w:shd w:val="clear" w:color="auto" w:fill="FCFCFC"/>
          <w:lang w:val="en-US"/>
        </w:rPr>
        <w:t>5</w:t>
      </w:r>
      <w:r w:rsidRPr="00503093">
        <w:rPr>
          <w:rFonts w:cs="Times New Roman"/>
          <w:color w:val="333333"/>
          <w:shd w:val="clear" w:color="auto" w:fill="FCFCFC"/>
          <w:lang w:val="en-US"/>
        </w:rPr>
        <w:t>0 cm/s</w:t>
      </w:r>
      <w:r>
        <w:rPr>
          <w:rFonts w:cs="Times New Roman"/>
          <w:color w:val="333333"/>
          <w:shd w:val="clear" w:color="auto" w:fill="FCFCFC"/>
          <w:lang w:val="en-US"/>
        </w:rPr>
        <w:t>.</w:t>
      </w:r>
    </w:p>
    <w:p w:rsidR="009E13DD" w:rsidRPr="0091637C" w:rsidRDefault="009E13DD" w:rsidP="009E13DD">
      <w:pPr>
        <w:widowControl w:val="0"/>
        <w:autoSpaceDE w:val="0"/>
        <w:autoSpaceDN w:val="0"/>
        <w:adjustRightInd w:val="0"/>
        <w:spacing w:after="240"/>
        <w:rPr>
          <w:rFonts w:cs="Times New Roman"/>
          <w:color w:val="000000"/>
        </w:rPr>
      </w:pPr>
      <w:r w:rsidRPr="009D414F">
        <w:rPr>
          <w:rFonts w:cs="Times New Roman"/>
          <w:lang w:val="en-GB"/>
        </w:rPr>
        <w:t xml:space="preserve">Image analysis was performed with the observer blinded to the source of the sample using Segment v2.2 R6246. </w:t>
      </w:r>
      <w:r w:rsidRPr="0091637C">
        <w:rPr>
          <w:rFonts w:cs="Times New Roman"/>
          <w:color w:val="000000"/>
          <w:lang w:val="en-GB"/>
        </w:rPr>
        <w:t xml:space="preserve">Right </w:t>
      </w:r>
      <w:r w:rsidRPr="00EA18C2">
        <w:rPr>
          <w:rFonts w:cs="Times New Roman"/>
          <w:color w:val="000000"/>
          <w:lang w:val="en-GB"/>
        </w:rPr>
        <w:t>ventricular</w:t>
      </w:r>
      <w:r w:rsidRPr="0091637C">
        <w:rPr>
          <w:rFonts w:cs="Times New Roman"/>
          <w:color w:val="000000"/>
          <w:lang w:val="en-GB"/>
        </w:rPr>
        <w:t xml:space="preserve"> volumes were measured by manually </w:t>
      </w:r>
      <w:r>
        <w:rPr>
          <w:rFonts w:cs="Times New Roman"/>
          <w:color w:val="000000"/>
          <w:lang w:val="en-GB"/>
        </w:rPr>
        <w:t>tracing</w:t>
      </w:r>
      <w:r w:rsidRPr="0091637C">
        <w:rPr>
          <w:rFonts w:cs="Times New Roman"/>
          <w:color w:val="000000"/>
          <w:lang w:val="en-GB"/>
        </w:rPr>
        <w:t xml:space="preserve"> the endocardium at end-diastole and end-systole on all slices encompassing the heart.</w:t>
      </w:r>
      <w:r>
        <w:rPr>
          <w:rFonts w:cs="Times New Roman"/>
          <w:color w:val="000000"/>
          <w:lang w:val="en-GB"/>
        </w:rPr>
        <w:t xml:space="preserve"> Right ventricular ejection fraction was calculated by dividing end systolic- with end diastolic volumes.</w:t>
      </w:r>
      <w:r w:rsidRPr="0091637C">
        <w:rPr>
          <w:rFonts w:cs="Times New Roman"/>
          <w:color w:val="000000"/>
          <w:lang w:val="en-GB"/>
        </w:rPr>
        <w:t xml:space="preserve"> </w:t>
      </w:r>
      <w:r>
        <w:rPr>
          <w:rFonts w:cs="Times New Roman"/>
          <w:color w:val="000000"/>
          <w:lang w:val="en-GB"/>
        </w:rPr>
        <w:t>P</w:t>
      </w:r>
      <w:r w:rsidRPr="005361D3">
        <w:rPr>
          <w:rFonts w:cs="Times New Roman"/>
          <w:color w:val="000000"/>
          <w:lang w:val="en-GB"/>
        </w:rPr>
        <w:t>ulmonary flow curves were obtained</w:t>
      </w:r>
      <w:r w:rsidRPr="00EA18C2">
        <w:rPr>
          <w:rFonts w:cs="Times New Roman"/>
          <w:color w:val="000000"/>
          <w:lang w:val="en-GB"/>
        </w:rPr>
        <w:t xml:space="preserve"> b</w:t>
      </w:r>
      <w:r w:rsidRPr="0091637C">
        <w:rPr>
          <w:rFonts w:cs="Times New Roman"/>
          <w:color w:val="000000"/>
          <w:lang w:val="en-GB"/>
        </w:rPr>
        <w:t>y drawing a r</w:t>
      </w:r>
      <w:r w:rsidRPr="00EA18C2">
        <w:rPr>
          <w:rFonts w:cs="Times New Roman"/>
          <w:color w:val="000000"/>
          <w:lang w:val="en-GB"/>
        </w:rPr>
        <w:t>egion of interest at the cross</w:t>
      </w:r>
      <w:r>
        <w:rPr>
          <w:rFonts w:cs="Times New Roman"/>
          <w:color w:val="000000"/>
          <w:lang w:val="en-GB"/>
        </w:rPr>
        <w:t>-</w:t>
      </w:r>
      <w:r w:rsidRPr="00EA18C2">
        <w:rPr>
          <w:rFonts w:cs="Times New Roman"/>
          <w:color w:val="000000"/>
          <w:lang w:val="en-GB"/>
        </w:rPr>
        <w:t>sectioned</w:t>
      </w:r>
      <w:r w:rsidRPr="0091637C">
        <w:rPr>
          <w:rFonts w:cs="Times New Roman"/>
          <w:color w:val="000000"/>
          <w:lang w:val="en-GB"/>
        </w:rPr>
        <w:t xml:space="preserve"> </w:t>
      </w:r>
      <w:r>
        <w:rPr>
          <w:rFonts w:cs="Times New Roman"/>
          <w:color w:val="000000"/>
          <w:lang w:val="en-GB"/>
        </w:rPr>
        <w:t>pulmonary artery</w:t>
      </w:r>
      <w:r w:rsidRPr="00EA18C2">
        <w:rPr>
          <w:rFonts w:cs="Times New Roman"/>
          <w:color w:val="000000"/>
          <w:lang w:val="en-GB"/>
        </w:rPr>
        <w:t xml:space="preserve"> in the phase-</w:t>
      </w:r>
      <w:r w:rsidRPr="00EA18C2">
        <w:rPr>
          <w:rFonts w:cs="Times New Roman"/>
          <w:color w:val="000000"/>
          <w:lang w:val="en-GB"/>
        </w:rPr>
        <w:lastRenderedPageBreak/>
        <w:t>contrast scan</w:t>
      </w:r>
      <w:r w:rsidRPr="0091637C">
        <w:rPr>
          <w:rFonts w:cs="Times New Roman"/>
          <w:color w:val="000000"/>
          <w:lang w:val="en-GB"/>
        </w:rPr>
        <w:t xml:space="preserve">. </w:t>
      </w:r>
      <w:r>
        <w:rPr>
          <w:rFonts w:cs="Times New Roman"/>
          <w:color w:val="000000"/>
          <w:lang w:val="en-GB"/>
        </w:rPr>
        <w:t>Stroke volume and cardiac output were calculated using heart rates recorded simultaneously</w:t>
      </w:r>
      <w:r w:rsidRPr="0091637C">
        <w:rPr>
          <w:rFonts w:cs="Times New Roman"/>
          <w:color w:val="000000"/>
          <w:lang w:val="en-GB"/>
        </w:rPr>
        <w:t>.</w:t>
      </w:r>
    </w:p>
    <w:p w:rsidR="009E13DD" w:rsidRPr="009D414F" w:rsidRDefault="009E13DD" w:rsidP="009E13DD">
      <w:pPr>
        <w:pStyle w:val="Overskrift3"/>
        <w:rPr>
          <w:lang w:val="en-GB"/>
        </w:rPr>
      </w:pPr>
      <w:r w:rsidRPr="009D414F">
        <w:rPr>
          <w:lang w:val="en-GB"/>
        </w:rPr>
        <w:t>12.2 Acquisition and analysis of echocardiographic data</w:t>
      </w:r>
    </w:p>
    <w:p w:rsidR="009E13DD" w:rsidRPr="009D414F" w:rsidRDefault="009E13DD" w:rsidP="009E13DD">
      <w:pPr>
        <w:rPr>
          <w:lang w:val="en-GB"/>
        </w:rPr>
      </w:pPr>
      <w:r w:rsidRPr="009D414F">
        <w:rPr>
          <w:lang w:val="en-GB"/>
        </w:rPr>
        <w:t>Echocardiography was performed with standard available equipment at our department: Vivid s6, Vivid E95, Vivid E90 (GE healthcare, Horton, Norway) according to guidelines from the American society of echocardiography.</w:t>
      </w:r>
      <w:r w:rsidRPr="009D414F">
        <w:rPr>
          <w:rFonts w:cs="Times New Roman"/>
          <w:lang w:val="en-GB"/>
        </w:rPr>
        <w:t>{Rudski:2010it}Analysis of TTE images were performed off-line using Echo Pac software (v110, GE , Horton, Norway) with the observer blinded to the source of the sample.</w:t>
      </w:r>
      <w:r w:rsidRPr="009D414F">
        <w:rPr>
          <w:lang w:val="en-GB"/>
        </w:rPr>
        <w:t xml:space="preserve"> Right-to-left ventricular dimension (RV/LV) was measure 1 cm above the atrio-ventricular plane. Fractional area change was analyzed by measuring the right ventricle end-systolic (RV-ESA) and end-diastolic (RV-EDA) area in the four chamber view and computing it as: FAC = (RV-EDA-RV-ESA)/RV-EDA x 100. Tricuspid annular plane excursion (TAPSE) was obtained by placing a m-mode cursor through the RV apex and the lateral tricuspid annulus. Then, longitudinal  displacement was measured from peak-diastole to peak-systole. Pulmonary artery acceleration time (PAAT) was measured from the initiation to the peak of the systolic PW Doppler curve obtained in the right ventricular outflow tract. The Doppler-determined peak systolic pressure gradient was with the modified Bernoulli equation using GE software on the peak CW Doppler curves of the tricuspid regurgitation jet.</w:t>
      </w:r>
    </w:p>
    <w:p w:rsidR="009E13DD" w:rsidRPr="009D414F" w:rsidRDefault="009E13DD" w:rsidP="009E13DD">
      <w:pPr>
        <w:pStyle w:val="Overskrift3"/>
        <w:rPr>
          <w:lang w:val="en-GB"/>
        </w:rPr>
      </w:pPr>
      <w:r w:rsidRPr="009D414F">
        <w:rPr>
          <w:lang w:val="en-GB"/>
        </w:rPr>
        <w:t>12.3 Acquisition and analysis of right heart catheterization data</w:t>
      </w:r>
    </w:p>
    <w:p w:rsidR="009E13DD" w:rsidRPr="009D414F" w:rsidRDefault="009E13DD" w:rsidP="009E13DD">
      <w:pPr>
        <w:rPr>
          <w:lang w:val="en-GB"/>
        </w:rPr>
      </w:pPr>
      <w:r w:rsidRPr="009D414F">
        <w:rPr>
          <w:lang w:val="en-GB"/>
        </w:rPr>
        <w:t xml:space="preserve">Right heart catheterization was done with a triple lumen Swan-Ganz thermistor and balloon-tipped catheter introduced into the jugular vein and advanced to the pulmonary artery guided by fluoroscopy. </w:t>
      </w:r>
      <w:r>
        <w:rPr>
          <w:lang w:val="en-GB"/>
        </w:rPr>
        <w:t>Mean p</w:t>
      </w:r>
      <w:r w:rsidRPr="009D414F">
        <w:rPr>
          <w:lang w:val="en-GB"/>
        </w:rPr>
        <w:t>ulmonary capillary wedge pressure (</w:t>
      </w:r>
      <w:r>
        <w:rPr>
          <w:lang w:val="en-GB"/>
        </w:rPr>
        <w:t>m</w:t>
      </w:r>
      <w:r w:rsidRPr="009D414F">
        <w:rPr>
          <w:lang w:val="en-GB"/>
        </w:rPr>
        <w:t>PCWP) was measured</w:t>
      </w:r>
      <w:r>
        <w:rPr>
          <w:lang w:val="en-GB"/>
        </w:rPr>
        <w:t xml:space="preserve"> from the tip after</w:t>
      </w:r>
      <w:r w:rsidRPr="009D414F">
        <w:rPr>
          <w:lang w:val="en-GB"/>
        </w:rPr>
        <w:t xml:space="preserve"> wedging the catheter with an inflatable balloon in a smaller pulmonary artery and measuring the pressure distal to the ballon. Systolic, diastolic and mean pulmonary artery pressure (PAP) was </w:t>
      </w:r>
      <w:r w:rsidRPr="009D414F">
        <w:rPr>
          <w:lang w:val="en-GB"/>
        </w:rPr>
        <w:lastRenderedPageBreak/>
        <w:t>measured in the pulmonary artery with the catheter. Pulmonary vascular resistance (PVR) was computed using PVR = (mPAP-mPCWP)/CO. Mixed venous saturation (SVO</w:t>
      </w:r>
      <w:r w:rsidRPr="009D414F">
        <w:rPr>
          <w:vertAlign w:val="subscript"/>
          <w:lang w:val="en-GB"/>
        </w:rPr>
        <w:t>2</w:t>
      </w:r>
      <w:r w:rsidRPr="009D414F">
        <w:rPr>
          <w:lang w:val="en-GB"/>
        </w:rPr>
        <w:t>) was obtained by blood gas analysis of blood obtained from the pulmonary</w:t>
      </w:r>
      <w:r>
        <w:rPr>
          <w:lang w:val="en-GB"/>
        </w:rPr>
        <w:t>.</w:t>
      </w:r>
    </w:p>
    <w:p w:rsidR="009E13DD" w:rsidRPr="009D414F" w:rsidRDefault="009E13DD" w:rsidP="009E13DD">
      <w:pPr>
        <w:rPr>
          <w:lang w:val="en-GB"/>
        </w:rPr>
      </w:pPr>
    </w:p>
    <w:p w:rsidR="009E13DD" w:rsidRPr="009D414F" w:rsidRDefault="009E13DD" w:rsidP="009E13DD">
      <w:pPr>
        <w:rPr>
          <w:lang w:val="en-GB"/>
        </w:rPr>
      </w:pPr>
    </w:p>
    <w:p w:rsidR="009E13DD" w:rsidRPr="009D414F" w:rsidRDefault="009E13DD" w:rsidP="009E13DD">
      <w:pPr>
        <w:rPr>
          <w:lang w:val="en-GB"/>
        </w:rPr>
      </w:pPr>
    </w:p>
    <w:p w:rsidR="006F450B" w:rsidRDefault="009E13DD">
      <w:bookmarkStart w:id="0" w:name="_GoBack"/>
      <w:bookmarkEnd w:id="0"/>
    </w:p>
    <w:sectPr w:rsidR="006F450B" w:rsidSect="009D277E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3DD"/>
    <w:rsid w:val="00030EE4"/>
    <w:rsid w:val="009D277E"/>
    <w:rsid w:val="009E13DD"/>
    <w:rsid w:val="00E7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69FEF3EA-6D95-0D44-A970-A7D8E90A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13DD"/>
    <w:pPr>
      <w:spacing w:after="200" w:line="480" w:lineRule="auto"/>
    </w:pPr>
    <w:rPr>
      <w:rFonts w:ascii="Times New Roman" w:eastAsiaTheme="minorEastAsia" w:hAnsi="Times New Roman"/>
      <w:lang w:eastAsia="ja-JP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E13DD"/>
    <w:pPr>
      <w:keepNext/>
      <w:keepLines/>
      <w:pageBreakBefore/>
      <w:spacing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  <w:lang w:val="en-US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E13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D0D0D" w:themeColor="text1" w:themeTint="F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E13DD"/>
    <w:rPr>
      <w:rFonts w:asciiTheme="majorHAnsi" w:eastAsiaTheme="majorEastAsia" w:hAnsiTheme="majorHAnsi" w:cstheme="majorBidi"/>
      <w:b/>
      <w:bCs/>
      <w:color w:val="000000" w:themeColor="text1"/>
      <w:sz w:val="32"/>
      <w:szCs w:val="32"/>
      <w:lang w:val="en-US" w:eastAsia="ja-JP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E13DD"/>
    <w:rPr>
      <w:rFonts w:asciiTheme="majorHAnsi" w:eastAsiaTheme="majorEastAsia" w:hAnsiTheme="majorHAnsi" w:cstheme="majorBidi"/>
      <w:b/>
      <w:bCs/>
      <w:color w:val="0D0D0D" w:themeColor="text1" w:themeTint="F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586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Asger Andersen</dc:creator>
  <cp:keywords/>
  <dc:description/>
  <cp:lastModifiedBy>Asger Andersen</cp:lastModifiedBy>
  <cp:revision>1</cp:revision>
  <dcterms:created xsi:type="dcterms:W3CDTF">2018-04-19T10:35:00Z</dcterms:created>
  <dcterms:modified xsi:type="dcterms:W3CDTF">2018-04-19T10:36:00Z</dcterms:modified>
</cp:coreProperties>
</file>