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Plain English Summary</w:t>
      </w:r>
    </w:p>
    <w:p w:rsidR="00000000" w:rsidDel="00000000" w:rsidP="00000000" w:rsidRDefault="00000000" w:rsidRPr="00000000" w14:paraId="00000002">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480" w:lineRule="auto"/>
        <w:ind w:firstLine="720"/>
        <w:rPr>
          <w:rFonts w:ascii="Times New Roman" w:cs="Times New Roman" w:eastAsia="Times New Roman" w:hAnsi="Times New Roman"/>
          <w:sz w:val="24"/>
          <w:szCs w:val="24"/>
          <w:shd w:fill="fcfcfc" w:val="clear"/>
        </w:rPr>
      </w:pPr>
      <w:r w:rsidDel="00000000" w:rsidR="00000000" w:rsidRPr="00000000">
        <w:rPr>
          <w:rFonts w:ascii="Times New Roman" w:cs="Times New Roman" w:eastAsia="Times New Roman" w:hAnsi="Times New Roman"/>
          <w:sz w:val="24"/>
          <w:szCs w:val="24"/>
          <w:shd w:fill="fcfcfc" w:val="clear"/>
          <w:rtl w:val="0"/>
        </w:rPr>
        <w:t xml:space="preserve">Adolescent idiopathic scoliosis (AIS) is the most common spinal disorder in youth aged 10 to 18. Currently, there are many studies that each define successful AIS treatment using a distinct outcome measure. However, there is a lack of reviews that summarize these definitions to capture the biopsychosocial approach in defining </w:t>
      </w:r>
      <w:r w:rsidDel="00000000" w:rsidR="00000000" w:rsidRPr="00000000">
        <w:rPr>
          <w:rFonts w:ascii="Times New Roman" w:cs="Times New Roman" w:eastAsia="Times New Roman" w:hAnsi="Times New Roman"/>
          <w:sz w:val="24"/>
          <w:szCs w:val="24"/>
          <w:highlight w:val="white"/>
          <w:rtl w:val="0"/>
        </w:rPr>
        <w:t xml:space="preserve">successful AIS treatment for clinicians and patients. </w:t>
      </w:r>
      <w:r w:rsidDel="00000000" w:rsidR="00000000" w:rsidRPr="00000000">
        <w:rPr>
          <w:rFonts w:ascii="Times New Roman" w:cs="Times New Roman" w:eastAsia="Times New Roman" w:hAnsi="Times New Roman"/>
          <w:sz w:val="24"/>
          <w:szCs w:val="24"/>
          <w:shd w:fill="fcfcfc" w:val="clear"/>
          <w:rtl w:val="0"/>
        </w:rPr>
        <w:t xml:space="preserve">In this study, we explored the literature to analyze t</w:t>
      </w:r>
      <w:r w:rsidDel="00000000" w:rsidR="00000000" w:rsidRPr="00000000">
        <w:rPr>
          <w:rFonts w:ascii="Times New Roman" w:cs="Times New Roman" w:eastAsia="Times New Roman" w:hAnsi="Times New Roman"/>
          <w:sz w:val="24"/>
          <w:szCs w:val="24"/>
          <w:rtl w:val="0"/>
        </w:rPr>
        <w:t xml:space="preserve">he extent of radiographic and quality of life domains used as proxies of AIS treatment success. Furthermore, we investigated whether AIS treatment approaches (surgical, bracing, physiotherapy etc.) influence outcome measures used. This review identified that no studies used qualitative outcome measures; moreover, the type of treatment approach did not influence the outcome measure employed. </w:t>
      </w:r>
      <w:r w:rsidDel="00000000" w:rsidR="00000000" w:rsidRPr="00000000">
        <w:rPr>
          <w:rFonts w:ascii="Times New Roman" w:cs="Times New Roman" w:eastAsia="Times New Roman" w:hAnsi="Times New Roman"/>
          <w:sz w:val="24"/>
          <w:szCs w:val="24"/>
          <w:shd w:fill="fcfcfc" w:val="clear"/>
          <w:rtl w:val="0"/>
        </w:rPr>
        <w:t xml:space="preserve">Findings from this study identify the need for increased use of qualitative measures, along with the integration of current quantitative approaches in evaluating success of AIS treatment.</w:t>
      </w:r>
    </w:p>
    <w:p w:rsidR="00000000" w:rsidDel="00000000" w:rsidP="00000000" w:rsidRDefault="00000000" w:rsidRPr="00000000" w14:paraId="00000004">
      <w:pPr>
        <w:spacing w:line="480" w:lineRule="auto"/>
        <w:rPr>
          <w:rFonts w:ascii="Roboto" w:cs="Roboto" w:eastAsia="Roboto" w:hAnsi="Roboto"/>
          <w:sz w:val="27"/>
          <w:szCs w:val="27"/>
          <w:shd w:fill="fcfcfc" w:val="clear"/>
        </w:rPr>
      </w:pPr>
      <w:r w:rsidDel="00000000" w:rsidR="00000000" w:rsidRPr="00000000">
        <w:rPr>
          <w:rtl w:val="0"/>
        </w:rPr>
      </w:r>
    </w:p>
    <w:p w:rsidR="00000000" w:rsidDel="00000000" w:rsidP="00000000" w:rsidRDefault="00000000" w:rsidRPr="00000000" w14:paraId="0000000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