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92E9F" w14:textId="77777777" w:rsidR="006152FA" w:rsidRPr="006152FA" w:rsidRDefault="006152FA" w:rsidP="006152FA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6152FA">
        <w:rPr>
          <w:rFonts w:ascii="Times New Roman" w:eastAsia="Calibri" w:hAnsi="Times New Roman" w:cs="Times New Roman"/>
          <w:sz w:val="24"/>
          <w:szCs w:val="24"/>
          <w:lang w:val="en-US"/>
        </w:rPr>
        <w:t>Table 2</w:t>
      </w:r>
    </w:p>
    <w:p w14:paraId="28BE51C5" w14:textId="77777777" w:rsidR="006152FA" w:rsidRPr="006152FA" w:rsidRDefault="006152FA" w:rsidP="006152FA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6152FA">
        <w:rPr>
          <w:rFonts w:ascii="Times New Roman" w:eastAsia="Calibri" w:hAnsi="Times New Roman" w:cs="Times New Roman"/>
          <w:sz w:val="24"/>
          <w:szCs w:val="24"/>
          <w:lang w:val="en-US"/>
        </w:rPr>
        <w:t>Progression criteria</w:t>
      </w:r>
    </w:p>
    <w:tbl>
      <w:tblPr>
        <w:tblStyle w:val="Tabellenraster1"/>
        <w:tblpPr w:leftFromText="141" w:rightFromText="141" w:vertAnchor="text" w:horzAnchor="margin" w:tblpY="108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05"/>
        <w:gridCol w:w="1868"/>
        <w:gridCol w:w="1891"/>
        <w:gridCol w:w="1810"/>
        <w:gridCol w:w="29"/>
      </w:tblGrid>
      <w:tr w:rsidR="006152FA" w:rsidRPr="006152FA" w14:paraId="1EB0ED5A" w14:textId="77777777" w:rsidTr="004652A0">
        <w:trPr>
          <w:gridAfter w:val="1"/>
          <w:wAfter w:w="10" w:type="pct"/>
        </w:trPr>
        <w:tc>
          <w:tcPr>
            <w:tcW w:w="3070" w:type="pct"/>
            <w:vMerge w:val="restart"/>
            <w:tcBorders>
              <w:top w:val="single" w:sz="18" w:space="0" w:color="auto"/>
            </w:tcBorders>
            <w:shd w:val="clear" w:color="auto" w:fill="auto"/>
          </w:tcPr>
          <w:p w14:paraId="2853BB66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Progression criteria</w:t>
            </w:r>
          </w:p>
        </w:tc>
        <w:tc>
          <w:tcPr>
            <w:tcW w:w="1920" w:type="pct"/>
            <w:gridSpan w:val="3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14:paraId="2F4900D0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Categories</w:t>
            </w:r>
          </w:p>
        </w:tc>
      </w:tr>
      <w:tr w:rsidR="006152FA" w:rsidRPr="006152FA" w14:paraId="51FDB464" w14:textId="77777777" w:rsidTr="006152FA">
        <w:tc>
          <w:tcPr>
            <w:tcW w:w="3070" w:type="pct"/>
            <w:vMerge/>
            <w:tcBorders>
              <w:bottom w:val="single" w:sz="18" w:space="0" w:color="auto"/>
            </w:tcBorders>
            <w:shd w:val="clear" w:color="auto" w:fill="auto"/>
          </w:tcPr>
          <w:p w14:paraId="048E5B9B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4" w:type="pct"/>
            <w:tcBorders>
              <w:top w:val="single" w:sz="18" w:space="0" w:color="auto"/>
              <w:bottom w:val="single" w:sz="18" w:space="0" w:color="auto"/>
            </w:tcBorders>
            <w:shd w:val="clear" w:color="auto" w:fill="A8D08D"/>
          </w:tcPr>
          <w:p w14:paraId="645D0ED7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Green: progress to effect study</w:t>
            </w:r>
          </w:p>
        </w:tc>
        <w:tc>
          <w:tcPr>
            <w:tcW w:w="652" w:type="pct"/>
            <w:tcBorders>
              <w:top w:val="single" w:sz="18" w:space="0" w:color="auto"/>
              <w:bottom w:val="single" w:sz="18" w:space="0" w:color="auto"/>
            </w:tcBorders>
            <w:shd w:val="clear" w:color="auto" w:fill="FFD966"/>
          </w:tcPr>
          <w:p w14:paraId="610F3D86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Amber: Amend when progressing to effect study</w:t>
            </w:r>
          </w:p>
        </w:tc>
        <w:tc>
          <w:tcPr>
            <w:tcW w:w="634" w:type="pct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FF5B5B"/>
          </w:tcPr>
          <w:p w14:paraId="20B81B58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Red: must be resolved before progression to effect study</w:t>
            </w:r>
          </w:p>
        </w:tc>
      </w:tr>
      <w:tr w:rsidR="006152FA" w:rsidRPr="006152FA" w14:paraId="2A24AC1D" w14:textId="77777777" w:rsidTr="006152FA">
        <w:trPr>
          <w:cantSplit/>
          <w:trHeight w:val="342"/>
        </w:trPr>
        <w:tc>
          <w:tcPr>
            <w:tcW w:w="3070" w:type="pct"/>
            <w:shd w:val="clear" w:color="auto" w:fill="auto"/>
          </w:tcPr>
          <w:p w14:paraId="0CFE4DBA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Eligibility</w:t>
            </w:r>
          </w:p>
        </w:tc>
        <w:tc>
          <w:tcPr>
            <w:tcW w:w="644" w:type="pct"/>
            <w:shd w:val="clear" w:color="auto" w:fill="A8D08D"/>
          </w:tcPr>
          <w:p w14:paraId="12F8938B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52" w:type="pct"/>
            <w:shd w:val="clear" w:color="auto" w:fill="FFD966"/>
          </w:tcPr>
          <w:p w14:paraId="6540ED19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34" w:type="pct"/>
            <w:gridSpan w:val="2"/>
            <w:shd w:val="clear" w:color="auto" w:fill="FF5B5B"/>
          </w:tcPr>
          <w:p w14:paraId="06D4BB5E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152FA" w:rsidRPr="006152FA" w14:paraId="3AFD9BA0" w14:textId="77777777" w:rsidTr="006152FA">
        <w:trPr>
          <w:cantSplit/>
          <w:trHeight w:val="342"/>
        </w:trPr>
        <w:tc>
          <w:tcPr>
            <w:tcW w:w="3070" w:type="pct"/>
            <w:shd w:val="clear" w:color="auto" w:fill="auto"/>
          </w:tcPr>
          <w:p w14:paraId="5BEB9965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Number of enrolled patients who meet inclusion criteria</w:t>
            </w:r>
          </w:p>
        </w:tc>
        <w:tc>
          <w:tcPr>
            <w:tcW w:w="644" w:type="pct"/>
            <w:shd w:val="clear" w:color="auto" w:fill="A8D08D"/>
          </w:tcPr>
          <w:p w14:paraId="78688EC1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≥50%</w:t>
            </w:r>
          </w:p>
        </w:tc>
        <w:tc>
          <w:tcPr>
            <w:tcW w:w="652" w:type="pct"/>
            <w:shd w:val="clear" w:color="auto" w:fill="FFD966"/>
          </w:tcPr>
          <w:p w14:paraId="5E3984DD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49-21%</w:t>
            </w:r>
          </w:p>
        </w:tc>
        <w:tc>
          <w:tcPr>
            <w:tcW w:w="634" w:type="pct"/>
            <w:gridSpan w:val="2"/>
            <w:shd w:val="clear" w:color="auto" w:fill="FF5B5B"/>
          </w:tcPr>
          <w:p w14:paraId="5FAAEAC6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≤20%</w:t>
            </w:r>
          </w:p>
        </w:tc>
      </w:tr>
      <w:tr w:rsidR="006152FA" w:rsidRPr="006152FA" w14:paraId="68889497" w14:textId="77777777" w:rsidTr="006152FA">
        <w:trPr>
          <w:cantSplit/>
          <w:trHeight w:val="342"/>
        </w:trPr>
        <w:tc>
          <w:tcPr>
            <w:tcW w:w="3070" w:type="pct"/>
            <w:shd w:val="clear" w:color="auto" w:fill="auto"/>
          </w:tcPr>
          <w:p w14:paraId="2E481FF8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Recruitment</w:t>
            </w:r>
          </w:p>
        </w:tc>
        <w:tc>
          <w:tcPr>
            <w:tcW w:w="644" w:type="pct"/>
            <w:shd w:val="clear" w:color="auto" w:fill="A8D08D"/>
          </w:tcPr>
          <w:p w14:paraId="1FFF3494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52" w:type="pct"/>
            <w:shd w:val="clear" w:color="auto" w:fill="FFD966"/>
          </w:tcPr>
          <w:p w14:paraId="1C90D02F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34" w:type="pct"/>
            <w:gridSpan w:val="2"/>
            <w:shd w:val="clear" w:color="auto" w:fill="FF5B5B"/>
          </w:tcPr>
          <w:p w14:paraId="7A8F5A4F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152FA" w:rsidRPr="006152FA" w14:paraId="413FF3A2" w14:textId="77777777" w:rsidTr="006152FA">
        <w:trPr>
          <w:cantSplit/>
          <w:trHeight w:val="342"/>
        </w:trPr>
        <w:tc>
          <w:tcPr>
            <w:tcW w:w="3070" w:type="pct"/>
            <w:shd w:val="clear" w:color="auto" w:fill="auto"/>
          </w:tcPr>
          <w:p w14:paraId="5AB9437D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Number of eligible patients who agree to participate in the study</w:t>
            </w:r>
          </w:p>
        </w:tc>
        <w:tc>
          <w:tcPr>
            <w:tcW w:w="644" w:type="pct"/>
            <w:shd w:val="clear" w:color="auto" w:fill="A8D08D"/>
          </w:tcPr>
          <w:p w14:paraId="105EFC10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≥50%</w:t>
            </w:r>
          </w:p>
        </w:tc>
        <w:tc>
          <w:tcPr>
            <w:tcW w:w="652" w:type="pct"/>
            <w:shd w:val="clear" w:color="auto" w:fill="FFD966"/>
          </w:tcPr>
          <w:p w14:paraId="26F8A9A3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49-21%</w:t>
            </w:r>
          </w:p>
        </w:tc>
        <w:tc>
          <w:tcPr>
            <w:tcW w:w="634" w:type="pct"/>
            <w:gridSpan w:val="2"/>
            <w:shd w:val="clear" w:color="auto" w:fill="FF5B5B"/>
          </w:tcPr>
          <w:p w14:paraId="2C90920E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≤25%</w:t>
            </w:r>
          </w:p>
        </w:tc>
      </w:tr>
      <w:tr w:rsidR="006152FA" w:rsidRPr="006152FA" w14:paraId="47E4C004" w14:textId="77777777" w:rsidTr="006152FA">
        <w:trPr>
          <w:cantSplit/>
          <w:trHeight w:val="342"/>
        </w:trPr>
        <w:tc>
          <w:tcPr>
            <w:tcW w:w="3070" w:type="pct"/>
            <w:shd w:val="clear" w:color="auto" w:fill="auto"/>
          </w:tcPr>
          <w:p w14:paraId="4D7271CE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Retention</w:t>
            </w:r>
          </w:p>
        </w:tc>
        <w:tc>
          <w:tcPr>
            <w:tcW w:w="644" w:type="pct"/>
            <w:shd w:val="clear" w:color="auto" w:fill="A8D08D"/>
          </w:tcPr>
          <w:p w14:paraId="3A84D184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52" w:type="pct"/>
            <w:shd w:val="clear" w:color="auto" w:fill="FFD966"/>
          </w:tcPr>
          <w:p w14:paraId="14667B17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34" w:type="pct"/>
            <w:gridSpan w:val="2"/>
            <w:shd w:val="clear" w:color="auto" w:fill="FF5B5B"/>
          </w:tcPr>
          <w:p w14:paraId="3A8CD56E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152FA" w:rsidRPr="006152FA" w14:paraId="77CFF948" w14:textId="77777777" w:rsidTr="006152FA">
        <w:trPr>
          <w:cantSplit/>
          <w:trHeight w:val="342"/>
        </w:trPr>
        <w:tc>
          <w:tcPr>
            <w:tcW w:w="3070" w:type="pct"/>
            <w:shd w:val="clear" w:color="auto" w:fill="auto"/>
          </w:tcPr>
          <w:p w14:paraId="2DA7383D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de-DE"/>
              </w:rPr>
              <w:t>Number of patients who attend t</w:t>
            </w:r>
            <w:r w:rsidRPr="006152FA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  <w:lang w:val="en-US" w:eastAsia="de-DE"/>
              </w:rPr>
              <w:t>1</w:t>
            </w:r>
            <w:r w:rsidRPr="006152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de-DE"/>
              </w:rPr>
              <w:t xml:space="preserve"> assessment and completeness of data at t</w:t>
            </w:r>
            <w:r w:rsidRPr="006152FA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  <w:lang w:val="en-US" w:eastAsia="de-DE"/>
              </w:rPr>
              <w:t>1</w:t>
            </w:r>
          </w:p>
        </w:tc>
        <w:tc>
          <w:tcPr>
            <w:tcW w:w="644" w:type="pct"/>
            <w:shd w:val="clear" w:color="auto" w:fill="A8D08D"/>
          </w:tcPr>
          <w:p w14:paraId="03254D63" w14:textId="77777777" w:rsidR="006152FA" w:rsidRPr="006152FA" w:rsidRDefault="006152FA" w:rsidP="006152FA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≥70%</w:t>
            </w:r>
          </w:p>
        </w:tc>
        <w:tc>
          <w:tcPr>
            <w:tcW w:w="652" w:type="pct"/>
            <w:shd w:val="clear" w:color="auto" w:fill="FFD966"/>
          </w:tcPr>
          <w:p w14:paraId="49167E8B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sz w:val="24"/>
                <w:szCs w:val="24"/>
              </w:rPr>
              <w:t>69-31%</w:t>
            </w:r>
          </w:p>
        </w:tc>
        <w:tc>
          <w:tcPr>
            <w:tcW w:w="634" w:type="pct"/>
            <w:gridSpan w:val="2"/>
            <w:shd w:val="clear" w:color="auto" w:fill="FF5B5B"/>
          </w:tcPr>
          <w:p w14:paraId="7F018172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sz w:val="24"/>
                <w:szCs w:val="24"/>
              </w:rPr>
              <w:t>≤30%</w:t>
            </w:r>
          </w:p>
        </w:tc>
      </w:tr>
      <w:tr w:rsidR="006152FA" w:rsidRPr="006152FA" w14:paraId="3500F85E" w14:textId="77777777" w:rsidTr="006152FA">
        <w:trPr>
          <w:trHeight w:val="342"/>
        </w:trPr>
        <w:tc>
          <w:tcPr>
            <w:tcW w:w="3070" w:type="pct"/>
            <w:shd w:val="clear" w:color="auto" w:fill="auto"/>
          </w:tcPr>
          <w:p w14:paraId="009B3D91" w14:textId="77777777" w:rsidR="006152FA" w:rsidRPr="006152FA" w:rsidRDefault="006152FA" w:rsidP="006152FA">
            <w:pPr>
              <w:spacing w:after="160" w:line="259" w:lineRule="auto"/>
              <w:ind w:left="30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Completeness of data</w:t>
            </w:r>
          </w:p>
        </w:tc>
        <w:tc>
          <w:tcPr>
            <w:tcW w:w="644" w:type="pct"/>
            <w:shd w:val="clear" w:color="auto" w:fill="A8D08D"/>
          </w:tcPr>
          <w:p w14:paraId="5E958145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52" w:type="pct"/>
            <w:shd w:val="clear" w:color="auto" w:fill="FFD966"/>
          </w:tcPr>
          <w:p w14:paraId="288D2A9B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34" w:type="pct"/>
            <w:gridSpan w:val="2"/>
            <w:shd w:val="clear" w:color="auto" w:fill="FF5B5B"/>
          </w:tcPr>
          <w:p w14:paraId="4AA848E3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152FA" w:rsidRPr="006152FA" w14:paraId="2E5F42D5" w14:textId="77777777" w:rsidTr="006152FA">
        <w:trPr>
          <w:trHeight w:val="342"/>
        </w:trPr>
        <w:tc>
          <w:tcPr>
            <w:tcW w:w="3070" w:type="pct"/>
            <w:shd w:val="clear" w:color="auto" w:fill="auto"/>
          </w:tcPr>
          <w:p w14:paraId="01450811" w14:textId="77777777" w:rsidR="006152FA" w:rsidRPr="006152FA" w:rsidRDefault="006152FA" w:rsidP="006152FA">
            <w:pPr>
              <w:spacing w:after="160" w:line="259" w:lineRule="auto"/>
              <w:ind w:left="3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de-DE"/>
              </w:rPr>
              <w:t>Completeness of data at t</w:t>
            </w:r>
            <w:r w:rsidRPr="006152FA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  <w:lang w:val="en-US" w:eastAsia="de-DE"/>
              </w:rPr>
              <w:t>1</w:t>
            </w:r>
          </w:p>
        </w:tc>
        <w:tc>
          <w:tcPr>
            <w:tcW w:w="644" w:type="pct"/>
            <w:shd w:val="clear" w:color="auto" w:fill="A8D08D"/>
          </w:tcPr>
          <w:p w14:paraId="50532674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≥80%</w:t>
            </w:r>
          </w:p>
        </w:tc>
        <w:tc>
          <w:tcPr>
            <w:tcW w:w="652" w:type="pct"/>
            <w:shd w:val="clear" w:color="auto" w:fill="FFD966"/>
          </w:tcPr>
          <w:p w14:paraId="20F7056A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79-71%</w:t>
            </w:r>
          </w:p>
        </w:tc>
        <w:tc>
          <w:tcPr>
            <w:tcW w:w="634" w:type="pct"/>
            <w:gridSpan w:val="2"/>
            <w:shd w:val="clear" w:color="auto" w:fill="FF5B5B"/>
          </w:tcPr>
          <w:p w14:paraId="3F976735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≤70%</w:t>
            </w:r>
          </w:p>
        </w:tc>
      </w:tr>
      <w:tr w:rsidR="006152FA" w:rsidRPr="006152FA" w14:paraId="27731752" w14:textId="77777777" w:rsidTr="006152FA">
        <w:trPr>
          <w:trHeight w:val="342"/>
        </w:trPr>
        <w:tc>
          <w:tcPr>
            <w:tcW w:w="3070" w:type="pct"/>
            <w:shd w:val="clear" w:color="auto" w:fill="auto"/>
          </w:tcPr>
          <w:p w14:paraId="1793B268" w14:textId="77777777" w:rsidR="006152FA" w:rsidRPr="006152FA" w:rsidRDefault="006152FA" w:rsidP="006152FA">
            <w:pPr>
              <w:spacing w:after="160" w:line="259" w:lineRule="auto"/>
              <w:ind w:left="3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</w:pPr>
            <w:r w:rsidRPr="006152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Attendance</w:t>
            </w:r>
          </w:p>
        </w:tc>
        <w:tc>
          <w:tcPr>
            <w:tcW w:w="644" w:type="pct"/>
            <w:shd w:val="clear" w:color="auto" w:fill="A8D08D"/>
          </w:tcPr>
          <w:p w14:paraId="18300F22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52" w:type="pct"/>
            <w:shd w:val="clear" w:color="auto" w:fill="FFD966"/>
          </w:tcPr>
          <w:p w14:paraId="06C14C8B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34" w:type="pct"/>
            <w:gridSpan w:val="2"/>
            <w:shd w:val="clear" w:color="auto" w:fill="FF5B5B"/>
          </w:tcPr>
          <w:p w14:paraId="40A22505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152FA" w:rsidRPr="006152FA" w14:paraId="10625DBA" w14:textId="77777777" w:rsidTr="006152FA">
        <w:trPr>
          <w:trHeight w:val="342"/>
        </w:trPr>
        <w:tc>
          <w:tcPr>
            <w:tcW w:w="3070" w:type="pct"/>
            <w:shd w:val="clear" w:color="auto" w:fill="auto"/>
          </w:tcPr>
          <w:p w14:paraId="05526ADA" w14:textId="77777777" w:rsidR="006152FA" w:rsidRPr="006152FA" w:rsidRDefault="006152FA" w:rsidP="006152FA">
            <w:pPr>
              <w:spacing w:after="160" w:line="259" w:lineRule="auto"/>
              <w:ind w:left="3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de-DE"/>
              </w:rPr>
            </w:pPr>
            <w:r w:rsidRPr="006152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de-DE"/>
              </w:rPr>
              <w:t>Number of sessions that can be delivered within 6 months</w:t>
            </w:r>
          </w:p>
        </w:tc>
        <w:tc>
          <w:tcPr>
            <w:tcW w:w="644" w:type="pct"/>
            <w:shd w:val="clear" w:color="auto" w:fill="A8D08D"/>
          </w:tcPr>
          <w:p w14:paraId="45D9DA4D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sz w:val="24"/>
                <w:szCs w:val="24"/>
              </w:rPr>
              <w:t>≥70%</w:t>
            </w:r>
          </w:p>
        </w:tc>
        <w:tc>
          <w:tcPr>
            <w:tcW w:w="652" w:type="pct"/>
            <w:shd w:val="clear" w:color="auto" w:fill="FFD966"/>
          </w:tcPr>
          <w:p w14:paraId="5198A326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sz w:val="24"/>
                <w:szCs w:val="24"/>
              </w:rPr>
              <w:t>69-31%</w:t>
            </w:r>
          </w:p>
        </w:tc>
        <w:tc>
          <w:tcPr>
            <w:tcW w:w="634" w:type="pct"/>
            <w:gridSpan w:val="2"/>
            <w:shd w:val="clear" w:color="auto" w:fill="FF5B5B"/>
          </w:tcPr>
          <w:p w14:paraId="67B7C736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sz w:val="24"/>
                <w:szCs w:val="24"/>
              </w:rPr>
              <w:t>≤30%</w:t>
            </w:r>
          </w:p>
        </w:tc>
      </w:tr>
      <w:tr w:rsidR="006152FA" w:rsidRPr="006152FA" w14:paraId="0A95E3DC" w14:textId="77777777" w:rsidTr="006152FA">
        <w:trPr>
          <w:trHeight w:val="342"/>
        </w:trPr>
        <w:tc>
          <w:tcPr>
            <w:tcW w:w="3070" w:type="pct"/>
            <w:shd w:val="clear" w:color="auto" w:fill="auto"/>
          </w:tcPr>
          <w:p w14:paraId="28B26CC2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2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Attrition </w:t>
            </w:r>
          </w:p>
        </w:tc>
        <w:tc>
          <w:tcPr>
            <w:tcW w:w="644" w:type="pct"/>
            <w:shd w:val="clear" w:color="auto" w:fill="A8D08D"/>
          </w:tcPr>
          <w:p w14:paraId="60030D31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2" w:type="pct"/>
            <w:shd w:val="clear" w:color="auto" w:fill="FFD966"/>
          </w:tcPr>
          <w:p w14:paraId="701DEBE9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4" w:type="pct"/>
            <w:gridSpan w:val="2"/>
            <w:shd w:val="clear" w:color="auto" w:fill="FF5B5B"/>
          </w:tcPr>
          <w:p w14:paraId="46F0450D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52FA" w:rsidRPr="006152FA" w14:paraId="223DC776" w14:textId="77777777" w:rsidTr="006152FA">
        <w:trPr>
          <w:trHeight w:val="342"/>
        </w:trPr>
        <w:tc>
          <w:tcPr>
            <w:tcW w:w="3070" w:type="pct"/>
            <w:tcBorders>
              <w:bottom w:val="single" w:sz="4" w:space="0" w:color="auto"/>
            </w:tcBorders>
            <w:shd w:val="clear" w:color="auto" w:fill="auto"/>
          </w:tcPr>
          <w:p w14:paraId="3353241F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52F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Number of patients who drop out before last assessment</w:t>
            </w:r>
          </w:p>
        </w:tc>
        <w:tc>
          <w:tcPr>
            <w:tcW w:w="644" w:type="pct"/>
            <w:tcBorders>
              <w:bottom w:val="single" w:sz="4" w:space="0" w:color="auto"/>
            </w:tcBorders>
            <w:shd w:val="clear" w:color="auto" w:fill="A8D08D"/>
          </w:tcPr>
          <w:p w14:paraId="179D91C1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2FA">
              <w:rPr>
                <w:rFonts w:ascii="Times New Roman" w:eastAsia="Calibri" w:hAnsi="Times New Roman" w:cs="Times New Roman"/>
                <w:sz w:val="24"/>
                <w:szCs w:val="24"/>
              </w:rPr>
              <w:t>≤20%</w:t>
            </w:r>
          </w:p>
        </w:tc>
        <w:tc>
          <w:tcPr>
            <w:tcW w:w="652" w:type="pct"/>
            <w:tcBorders>
              <w:bottom w:val="single" w:sz="4" w:space="0" w:color="auto"/>
            </w:tcBorders>
            <w:shd w:val="clear" w:color="auto" w:fill="FFD966"/>
          </w:tcPr>
          <w:p w14:paraId="12ED6073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2FA">
              <w:rPr>
                <w:rFonts w:ascii="Times New Roman" w:eastAsia="Calibri" w:hAnsi="Times New Roman" w:cs="Times New Roman"/>
                <w:sz w:val="24"/>
                <w:szCs w:val="24"/>
              </w:rPr>
              <w:t>21-39%</w:t>
            </w:r>
          </w:p>
        </w:tc>
        <w:tc>
          <w:tcPr>
            <w:tcW w:w="634" w:type="pct"/>
            <w:gridSpan w:val="2"/>
            <w:tcBorders>
              <w:bottom w:val="single" w:sz="4" w:space="0" w:color="auto"/>
            </w:tcBorders>
            <w:shd w:val="clear" w:color="auto" w:fill="FF5B5B"/>
          </w:tcPr>
          <w:p w14:paraId="3799CC42" w14:textId="77777777" w:rsidR="006152FA" w:rsidRPr="006152FA" w:rsidRDefault="006152FA" w:rsidP="006152F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2FA">
              <w:rPr>
                <w:rFonts w:ascii="Times New Roman" w:eastAsia="Calibri" w:hAnsi="Times New Roman" w:cs="Times New Roman"/>
                <w:sz w:val="24"/>
                <w:szCs w:val="24"/>
              </w:rPr>
              <w:t>≥40%</w:t>
            </w:r>
          </w:p>
        </w:tc>
      </w:tr>
    </w:tbl>
    <w:p w14:paraId="193F8DB2" w14:textId="77777777" w:rsidR="00A36B65" w:rsidRDefault="00A36B65"/>
    <w:sectPr w:rsidR="00A36B65" w:rsidSect="006152FA"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6152FA"/>
    <w:rsid w:val="006152FA"/>
    <w:rsid w:val="00A36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DA155"/>
  <w15:chartTrackingRefBased/>
  <w15:docId w15:val="{0C4ACF49-A0F3-4E39-8A15-62D4CD175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ellenraster1">
    <w:name w:val="Tabellenraster1"/>
    <w:basedOn w:val="NormaleTabelle"/>
    <w:next w:val="Tabellenraster"/>
    <w:uiPriority w:val="59"/>
    <w:rsid w:val="006152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nraster">
    <w:name w:val="Table Grid"/>
    <w:basedOn w:val="NormaleTabelle"/>
    <w:uiPriority w:val="59"/>
    <w:rsid w:val="006152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643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Alisa Schormann</dc:creator>
  <cp:keywords/>
  <dc:description/>
  <cp:lastModifiedBy>Alisa Schormann</cp:lastModifiedBy>
  <cp:revision>1</cp:revision>
  <dcterms:created xsi:type="dcterms:W3CDTF">2022-06-10T15:43:00Z</dcterms:created>
  <dcterms:modified xsi:type="dcterms:W3CDTF">2022-06-10T15:44:00Z</dcterms:modified>
</cp:coreProperties>
</file>