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AB83E" w14:textId="77777777" w:rsidR="00AE4DCF" w:rsidRDefault="00AE4DCF" w:rsidP="00AE4DCF">
      <w:pPr>
        <w:jc w:val="both"/>
      </w:pPr>
      <w:r>
        <w:rPr>
          <w:noProof/>
        </w:rPr>
        <w:drawing>
          <wp:inline distT="0" distB="0" distL="0" distR="0" wp14:anchorId="74B9AFE9" wp14:editId="129E7EF9">
            <wp:extent cx="6454449" cy="3312160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283" cy="3319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3AFAF0" w14:textId="77777777" w:rsidR="00AE4DCF" w:rsidRPr="005D7ADA" w:rsidRDefault="00AE4DCF" w:rsidP="00AE4DCF">
      <w:pPr>
        <w:spacing w:line="257" w:lineRule="auto"/>
        <w:jc w:val="both"/>
        <w:rPr>
          <w:lang w:val="en-US"/>
        </w:rPr>
      </w:pPr>
      <w:r w:rsidRPr="005D7ADA">
        <w:rPr>
          <w:rFonts w:ascii="Calibri" w:eastAsia="Calibri" w:hAnsi="Calibri" w:cs="Calibri"/>
          <w:b/>
          <w:bCs/>
          <w:color w:val="000000" w:themeColor="text1"/>
          <w:lang w:val="en-US"/>
        </w:rPr>
        <w:t xml:space="preserve">Supplementary figure 1. Illustration of the 4 cosine HRF model. </w:t>
      </w:r>
      <w:r w:rsidRPr="005D7ADA">
        <w:rPr>
          <w:rFonts w:ascii="Calibri" w:eastAsia="Calibri" w:hAnsi="Calibri" w:cs="Calibri"/>
          <w:color w:val="000000" w:themeColor="text1"/>
          <w:lang w:val="en-US"/>
        </w:rPr>
        <w:t xml:space="preserve">The 4 cosine HRF model is a concatenation of 4 half cosine with different scale, </w:t>
      </w:r>
      <w:proofErr w:type="gramStart"/>
      <w:r w:rsidRPr="005D7ADA">
        <w:rPr>
          <w:rFonts w:ascii="Calibri" w:eastAsia="Calibri" w:hAnsi="Calibri" w:cs="Calibri"/>
          <w:color w:val="000000" w:themeColor="text1"/>
          <w:lang w:val="en-US"/>
        </w:rPr>
        <w:t>sign</w:t>
      </w:r>
      <w:proofErr w:type="gramEnd"/>
      <w:r w:rsidRPr="005D7ADA">
        <w:rPr>
          <w:rFonts w:ascii="Calibri" w:eastAsia="Calibri" w:hAnsi="Calibri" w:cs="Calibri"/>
          <w:color w:val="000000" w:themeColor="text1"/>
          <w:lang w:val="en-US"/>
        </w:rPr>
        <w:t xml:space="preserve"> and origin. It allows to model the hemodynamic response function initial decrease, increase, fall and undershoot as well as the baseline with 8 independent parameters. Each parameter has a distinct and independent effect on the HRF shape which allows direct interpretation and avoid local minimum solution during the optimization process. </w:t>
      </w:r>
    </w:p>
    <w:p w14:paraId="1C753381" w14:textId="77777777" w:rsidR="003C0D68" w:rsidRPr="00AE4DCF" w:rsidRDefault="003C0D68">
      <w:pPr>
        <w:rPr>
          <w:lang w:val="en-US"/>
        </w:rPr>
      </w:pPr>
    </w:p>
    <w:sectPr w:rsidR="003C0D68" w:rsidRPr="00AE4D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CF"/>
    <w:rsid w:val="003C0D68"/>
    <w:rsid w:val="00AE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03912"/>
  <w15:chartTrackingRefBased/>
  <w15:docId w15:val="{A20A6EE3-18E5-49CE-8870-587EF565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D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deffieux</dc:creator>
  <cp:keywords/>
  <dc:description/>
  <cp:lastModifiedBy>thomas deffieux</cp:lastModifiedBy>
  <cp:revision>1</cp:revision>
  <dcterms:created xsi:type="dcterms:W3CDTF">2022-06-24T12:56:00Z</dcterms:created>
  <dcterms:modified xsi:type="dcterms:W3CDTF">2022-06-24T12:57:00Z</dcterms:modified>
</cp:coreProperties>
</file>