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3913CC" w14:textId="0C64A0AF" w:rsidR="00D13CE4" w:rsidRDefault="009B7966" w:rsidP="00D13CE4">
      <w:pPr>
        <w:pStyle w:val="Beschriftung"/>
        <w:keepNext/>
        <w:spacing w:line="276" w:lineRule="auto"/>
        <w:rPr>
          <w:rFonts w:ascii="Arial" w:hAnsi="Arial" w:cs="Arial"/>
          <w:i w:val="0"/>
          <w:color w:val="auto"/>
          <w:sz w:val="22"/>
          <w:lang w:val="en-US"/>
        </w:rPr>
      </w:pPr>
      <w:bookmarkStart w:id="0" w:name="_Hlk86314829"/>
      <w:bookmarkStart w:id="1" w:name="_GoBack"/>
      <w:bookmarkEnd w:id="1"/>
      <w:r>
        <w:rPr>
          <w:rFonts w:ascii="Arial" w:hAnsi="Arial" w:cs="Arial"/>
          <w:b/>
          <w:i w:val="0"/>
          <w:color w:val="auto"/>
          <w:sz w:val="22"/>
          <w:lang w:val="en-US"/>
        </w:rPr>
        <w:t>Supplementa</w:t>
      </w:r>
      <w:r w:rsidR="001631FD">
        <w:rPr>
          <w:rFonts w:ascii="Arial" w:hAnsi="Arial" w:cs="Arial"/>
          <w:b/>
          <w:i w:val="0"/>
          <w:color w:val="auto"/>
          <w:sz w:val="22"/>
          <w:lang w:val="en-US"/>
        </w:rPr>
        <w:t>ry</w:t>
      </w:r>
      <w:r>
        <w:rPr>
          <w:rFonts w:ascii="Arial" w:hAnsi="Arial" w:cs="Arial"/>
          <w:b/>
          <w:i w:val="0"/>
          <w:color w:val="auto"/>
          <w:sz w:val="22"/>
          <w:lang w:val="en-US"/>
        </w:rPr>
        <w:t xml:space="preserve"> Table S</w:t>
      </w:r>
      <w:r>
        <w:fldChar w:fldCharType="begin"/>
      </w:r>
      <w:r>
        <w:rPr>
          <w:rFonts w:ascii="Arial" w:hAnsi="Arial" w:cs="Arial"/>
          <w:b/>
          <w:i w:val="0"/>
          <w:color w:val="auto"/>
          <w:sz w:val="22"/>
          <w:lang w:val="en-US"/>
        </w:rPr>
        <w:instrText xml:space="preserve"> SEQ Table \* ARABIC </w:instrText>
      </w:r>
      <w:r>
        <w:fldChar w:fldCharType="separate"/>
      </w:r>
      <w:r w:rsidR="001631FD">
        <w:rPr>
          <w:rFonts w:ascii="Arial" w:hAnsi="Arial" w:cs="Arial"/>
          <w:b/>
          <w:i w:val="0"/>
          <w:noProof/>
          <w:color w:val="auto"/>
          <w:sz w:val="22"/>
          <w:lang w:val="en-US"/>
        </w:rPr>
        <w:t>1</w:t>
      </w:r>
      <w:r>
        <w:fldChar w:fldCharType="end"/>
      </w:r>
      <w:r>
        <w:rPr>
          <w:rFonts w:ascii="Arial" w:hAnsi="Arial" w:cs="Arial"/>
          <w:i w:val="0"/>
          <w:color w:val="auto"/>
          <w:sz w:val="22"/>
          <w:lang w:val="en-US"/>
        </w:rPr>
        <w:t xml:space="preserve"> - </w:t>
      </w:r>
      <w:bookmarkEnd w:id="0"/>
      <w:r w:rsidR="00D13CE4">
        <w:rPr>
          <w:rFonts w:ascii="Arial" w:hAnsi="Arial" w:cs="Arial"/>
          <w:i w:val="0"/>
          <w:color w:val="auto"/>
          <w:sz w:val="22"/>
          <w:lang w:val="en-US"/>
        </w:rPr>
        <w:t xml:space="preserve">Categorized changes of results in the DESK domain “Social behavior” from DESK-R survey wave 1 (DESK-R-SW1; conducted in 2017) to DESK-R survey wave 2 (DESK-R-SW2; conducted in 2018) (N = 979) </w:t>
      </w:r>
    </w:p>
    <w:tbl>
      <w:tblPr>
        <w:tblStyle w:val="Tabellenrast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2268"/>
        <w:gridCol w:w="1417"/>
        <w:gridCol w:w="2131"/>
        <w:gridCol w:w="1418"/>
        <w:gridCol w:w="1134"/>
        <w:gridCol w:w="1276"/>
        <w:gridCol w:w="992"/>
        <w:gridCol w:w="1701"/>
      </w:tblGrid>
      <w:tr w:rsidR="00D13CE4" w14:paraId="140A7832" w14:textId="77777777" w:rsidTr="00526DC2">
        <w:trPr>
          <w:trHeight w:val="502"/>
        </w:trPr>
        <w:tc>
          <w:tcPr>
            <w:tcW w:w="3823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B93A25" w14:textId="77777777" w:rsidR="00D13CE4" w:rsidRDefault="00D13CE4" w:rsidP="00526DC2">
            <w:pPr>
              <w:spacing w:line="360" w:lineRule="auto"/>
              <w:jc w:val="center"/>
              <w:rPr>
                <w:rFonts w:ascii="Arial" w:hAnsi="Arial" w:cs="Arial"/>
                <w:sz w:val="20"/>
                <w:szCs w:val="16"/>
                <w:lang w:eastAsia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16"/>
                <w:lang w:eastAsia="en-US"/>
              </w:rPr>
              <w:t>Social</w:t>
            </w:r>
            <w:proofErr w:type="spellEnd"/>
            <w:r>
              <w:rPr>
                <w:rFonts w:ascii="Arial" w:hAnsi="Arial" w:cs="Arial"/>
                <w:sz w:val="20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16"/>
                <w:lang w:eastAsia="en-US"/>
              </w:rPr>
              <w:t>behavior</w:t>
            </w:r>
            <w:proofErr w:type="spellEnd"/>
          </w:p>
        </w:tc>
        <w:tc>
          <w:tcPr>
            <w:tcW w:w="4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F890C1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 w:eastAsia="en-US"/>
              </w:rPr>
              <w:t>DESK-R-SW2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D62AEF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PRR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39DF19" w14:textId="77777777" w:rsidR="00D13CE4" w:rsidRDefault="00D13CE4" w:rsidP="00526DC2">
            <w:pPr>
              <w:jc w:val="center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95% CI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30BED6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 w:eastAsia="en-US"/>
              </w:rPr>
              <w:t>p-</w:t>
            </w: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value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160223" w14:textId="77777777" w:rsidR="00D13CE4" w:rsidRDefault="00D13CE4" w:rsidP="00526DC2">
            <w:pPr>
              <w:jc w:val="center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 xml:space="preserve">Ratio of </w:t>
            </w:r>
          </w:p>
          <w:p w14:paraId="5D5CF638" w14:textId="77777777" w:rsidR="00D13CE4" w:rsidRDefault="00D13CE4" w:rsidP="00526DC2">
            <w:pPr>
              <w:jc w:val="center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the rate of improvements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 w:eastAsia="en-US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 xml:space="preserve"> divided by </w:t>
            </w:r>
          </w:p>
          <w:p w14:paraId="525EA5C6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the rate of deteriorations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 w:eastAsia="en-US"/>
              </w:rPr>
              <w:t>2</w:t>
            </w:r>
          </w:p>
        </w:tc>
      </w:tr>
      <w:tr w:rsidR="00D13CE4" w14:paraId="2AACBACF" w14:textId="77777777" w:rsidTr="00526DC2">
        <w:trPr>
          <w:trHeight w:val="69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B1D2C7" w14:textId="77777777" w:rsidR="00D13CE4" w:rsidRDefault="00D13CE4" w:rsidP="00526DC2">
            <w:pPr>
              <w:rPr>
                <w:rFonts w:ascii="Arial" w:hAnsi="Arial" w:cs="Arial"/>
                <w:sz w:val="20"/>
                <w:szCs w:val="16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F01A78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No finding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34694D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 w:eastAsia="en-US"/>
              </w:rPr>
              <w:t>Developmental risk / inconclusive finding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B8849D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Total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C46C7A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825E4F" w14:textId="77777777" w:rsidR="00D13CE4" w:rsidRDefault="00D13CE4" w:rsidP="00526DC2">
            <w:pPr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68DC4F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D893D8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</w:tr>
      <w:tr w:rsidR="00D13CE4" w14:paraId="55BE28BA" w14:textId="77777777" w:rsidTr="00526DC2">
        <w:trPr>
          <w:trHeight w:val="51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875BE9" w14:textId="77777777" w:rsidR="00D13CE4" w:rsidRDefault="00D13CE4" w:rsidP="00526DC2">
            <w:pPr>
              <w:rPr>
                <w:rFonts w:ascii="Arial" w:hAnsi="Arial" w:cs="Arial"/>
                <w:sz w:val="20"/>
                <w:szCs w:val="16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DDC2C6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n (%)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860A8F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n (%)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4FE79D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n (%)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755FCE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E93FA5" w14:textId="77777777" w:rsidR="00D13CE4" w:rsidRDefault="00D13CE4" w:rsidP="00526DC2">
            <w:pPr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3B86AB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AA0CE9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</w:tr>
      <w:tr w:rsidR="00D13CE4" w14:paraId="1139FD0A" w14:textId="77777777" w:rsidTr="00526DC2">
        <w:trPr>
          <w:trHeight w:val="456"/>
        </w:trPr>
        <w:tc>
          <w:tcPr>
            <w:tcW w:w="15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2D387D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 w:eastAsia="en-US"/>
              </w:rPr>
              <w:t>DESK-R-SW1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DD1A36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No finding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433468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768 (78.4)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3E2264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73 (7.5)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BA4166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841 (85.9)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6BD58D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highlight w:val="yellow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0.88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EC407C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highlight w:val="yellow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[0.70-1.11]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72D313" w14:textId="77777777" w:rsidR="00D13CE4" w:rsidRPr="004A27CE" w:rsidRDefault="00D13CE4" w:rsidP="00526DC2">
            <w:pPr>
              <w:jc w:val="center"/>
              <w:rPr>
                <w:rFonts w:ascii="Arial" w:hAnsi="Arial" w:cs="Arial"/>
                <w:bCs/>
                <w:color w:val="000000"/>
                <w:lang w:eastAsia="en-US"/>
              </w:rPr>
            </w:pPr>
            <w:r w:rsidRPr="004A27CE">
              <w:rPr>
                <w:rFonts w:ascii="Arial" w:hAnsi="Arial" w:cs="Arial"/>
                <w:sz w:val="20"/>
                <w:szCs w:val="20"/>
                <w:lang w:val="en-US" w:eastAsia="en-US"/>
              </w:rPr>
              <w:t>0.287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186DD3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 w:rsidRPr="004A27CE">
              <w:rPr>
                <w:rFonts w:ascii="Arial" w:hAnsi="Arial" w:cs="Arial"/>
                <w:b/>
                <w:bCs/>
                <w:color w:val="000000"/>
                <w:sz w:val="20"/>
                <w:lang w:eastAsia="en-US"/>
              </w:rPr>
              <w:t>7.43</w:t>
            </w:r>
          </w:p>
        </w:tc>
      </w:tr>
      <w:tr w:rsidR="00D13CE4" w14:paraId="331D26D7" w14:textId="77777777" w:rsidTr="00526DC2">
        <w:trPr>
          <w:trHeight w:val="70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AD23C0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4162A8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 w:eastAsia="en-US"/>
              </w:rPr>
              <w:t>Developmental risk / inconclusive finding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727BB4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89 (9.1)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009CD4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49 (5.0)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8D5532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138 (14.1)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0A3362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6216BD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0F05DD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60A16A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</w:tr>
      <w:tr w:rsidR="00D13CE4" w14:paraId="39EC887B" w14:textId="77777777" w:rsidTr="00526DC2">
        <w:trPr>
          <w:trHeight w:val="5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67DCF4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941DC3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 w:eastAsia="en-US"/>
              </w:rPr>
              <w:t>Total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468041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857 (87.5)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B3319A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122 (12.5)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82C1AD" w14:textId="77777777" w:rsidR="00D13CE4" w:rsidRDefault="00D13CE4" w:rsidP="00526DC2">
            <w:pPr>
              <w:jc w:val="center"/>
              <w:rPr>
                <w:rFonts w:ascii="Arial" w:hAnsi="Arial" w:cs="Arial"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lang w:eastAsia="en-US"/>
              </w:rPr>
              <w:t>979 (100)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4CF6CC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A4A7A3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BFBC2E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A311BD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</w:tr>
    </w:tbl>
    <w:p w14:paraId="423CA43C" w14:textId="77777777" w:rsidR="00D13CE4" w:rsidRDefault="00D13CE4" w:rsidP="00D13CE4">
      <w:pPr>
        <w:widowControl w:val="0"/>
        <w:spacing w:before="120" w:line="276" w:lineRule="auto"/>
        <w:rPr>
          <w:rFonts w:ascii="Arial" w:hAnsi="Arial" w:cs="Arial"/>
          <w:sz w:val="20"/>
          <w:lang w:val="en-US" w:eastAsia="en-US"/>
        </w:rPr>
      </w:pPr>
      <w:r>
        <w:rPr>
          <w:rFonts w:ascii="Arial" w:hAnsi="Arial" w:cs="Arial"/>
          <w:color w:val="010205"/>
          <w:sz w:val="20"/>
          <w:lang w:val="en-US" w:eastAsia="en-US"/>
        </w:rPr>
        <w:t xml:space="preserve">Note: CI = confidence interval; PRR = Prevalence rate ratio; </w:t>
      </w:r>
      <w:r>
        <w:rPr>
          <w:rFonts w:ascii="Arial" w:hAnsi="Arial" w:cs="Arial"/>
          <w:bCs/>
          <w:sz w:val="20"/>
          <w:lang w:val="en-US" w:eastAsia="en-US"/>
        </w:rPr>
        <w:t xml:space="preserve">DESK-R-SW1 = </w:t>
      </w:r>
      <w:r>
        <w:rPr>
          <w:rFonts w:ascii="Arial" w:hAnsi="Arial" w:cs="Arial"/>
          <w:sz w:val="20"/>
          <w:lang w:val="en-US" w:eastAsia="en-US"/>
        </w:rPr>
        <w:t xml:space="preserve">DESK-R survey wave 1; </w:t>
      </w:r>
      <w:r>
        <w:rPr>
          <w:rFonts w:ascii="Arial" w:hAnsi="Arial" w:cs="Arial"/>
          <w:bCs/>
          <w:sz w:val="20"/>
          <w:lang w:val="en-US" w:eastAsia="en-US"/>
        </w:rPr>
        <w:t xml:space="preserve">DESK-R-SW2 = </w:t>
      </w:r>
      <w:r>
        <w:rPr>
          <w:rFonts w:ascii="Arial" w:hAnsi="Arial" w:cs="Arial"/>
          <w:sz w:val="20"/>
          <w:lang w:val="en-US" w:eastAsia="en-US"/>
        </w:rPr>
        <w:t>DESK-R survey wave 2;</w:t>
      </w:r>
      <w:r>
        <w:rPr>
          <w:rFonts w:ascii="Arial" w:hAnsi="Arial" w:cs="Arial"/>
          <w:color w:val="010205"/>
          <w:sz w:val="20"/>
          <w:lang w:val="en-US" w:eastAsia="en-US"/>
        </w:rPr>
        <w:t xml:space="preserve"> </w:t>
      </w:r>
      <w:r>
        <w:rPr>
          <w:rFonts w:ascii="Arial" w:hAnsi="Arial" w:cs="Arial"/>
          <w:color w:val="010205"/>
          <w:sz w:val="20"/>
          <w:vertAlign w:val="superscript"/>
          <w:lang w:val="en-US" w:eastAsia="en-US"/>
        </w:rPr>
        <w:t xml:space="preserve">1 </w:t>
      </w:r>
      <w:r>
        <w:rPr>
          <w:rFonts w:ascii="Arial" w:hAnsi="Arial" w:cs="Arial"/>
          <w:sz w:val="20"/>
          <w:lang w:val="en-US" w:eastAsia="en-US"/>
        </w:rPr>
        <w:t xml:space="preserve">Improvements: risk at </w:t>
      </w:r>
      <w:r>
        <w:rPr>
          <w:rFonts w:ascii="Arial" w:hAnsi="Arial" w:cs="Arial"/>
          <w:bCs/>
          <w:sz w:val="20"/>
          <w:lang w:val="en-US" w:eastAsia="en-US"/>
        </w:rPr>
        <w:t>DESK-R-SW1</w:t>
      </w:r>
      <w:r>
        <w:rPr>
          <w:rFonts w:ascii="Arial" w:hAnsi="Arial" w:cs="Arial"/>
          <w:sz w:val="20"/>
          <w:lang w:val="en-US" w:eastAsia="en-US"/>
        </w:rPr>
        <w:t xml:space="preserve">, no risk at </w:t>
      </w:r>
      <w:r>
        <w:rPr>
          <w:rFonts w:ascii="Arial" w:hAnsi="Arial" w:cs="Arial"/>
          <w:bCs/>
          <w:sz w:val="20"/>
          <w:lang w:val="en-US" w:eastAsia="en-US"/>
        </w:rPr>
        <w:t>DESK-R-SW2</w:t>
      </w:r>
      <w:r>
        <w:rPr>
          <w:rFonts w:ascii="Arial" w:hAnsi="Arial" w:cs="Arial"/>
          <w:sz w:val="20"/>
          <w:lang w:val="en-US" w:eastAsia="en-US"/>
        </w:rPr>
        <w:t xml:space="preserve">; </w:t>
      </w:r>
      <w:r>
        <w:rPr>
          <w:rFonts w:ascii="Arial" w:hAnsi="Arial" w:cs="Arial"/>
          <w:sz w:val="20"/>
          <w:vertAlign w:val="superscript"/>
          <w:lang w:val="en-US" w:eastAsia="en-US"/>
        </w:rPr>
        <w:t>2</w:t>
      </w:r>
      <w:r>
        <w:rPr>
          <w:rFonts w:ascii="Arial" w:hAnsi="Arial" w:cs="Arial"/>
          <w:sz w:val="20"/>
          <w:lang w:val="en-US" w:eastAsia="en-US"/>
        </w:rPr>
        <w:t xml:space="preserve">Deteriorations: no risk at </w:t>
      </w:r>
      <w:r>
        <w:rPr>
          <w:rFonts w:ascii="Arial" w:hAnsi="Arial" w:cs="Arial"/>
          <w:bCs/>
          <w:sz w:val="20"/>
          <w:lang w:val="en-US" w:eastAsia="en-US"/>
        </w:rPr>
        <w:t>DESK-R-SW1</w:t>
      </w:r>
      <w:r>
        <w:rPr>
          <w:rFonts w:ascii="Arial" w:hAnsi="Arial" w:cs="Arial"/>
          <w:sz w:val="20"/>
          <w:lang w:val="en-US" w:eastAsia="en-US"/>
        </w:rPr>
        <w:t xml:space="preserve">, risk in </w:t>
      </w:r>
      <w:r>
        <w:rPr>
          <w:rFonts w:ascii="Arial" w:hAnsi="Arial" w:cs="Arial"/>
          <w:bCs/>
          <w:sz w:val="20"/>
          <w:lang w:val="en-US" w:eastAsia="en-US"/>
        </w:rPr>
        <w:t>DESK-R-SW2</w:t>
      </w:r>
    </w:p>
    <w:p w14:paraId="2B756B90" w14:textId="77777777" w:rsidR="00D13CE4" w:rsidRPr="009B7966" w:rsidRDefault="00D13CE4" w:rsidP="00D13CE4">
      <w:pPr>
        <w:rPr>
          <w:lang w:val="en-US"/>
        </w:rPr>
      </w:pPr>
    </w:p>
    <w:p w14:paraId="0282D1C3" w14:textId="5A371415" w:rsidR="009B7966" w:rsidRDefault="009B7966" w:rsidP="00D13CE4">
      <w:pPr>
        <w:pStyle w:val="Beschriftung"/>
        <w:keepNext/>
        <w:spacing w:line="276" w:lineRule="auto"/>
        <w:rPr>
          <w:rFonts w:ascii="Arial" w:eastAsia="Times New Roman" w:hAnsi="Arial" w:cs="Arial"/>
          <w:color w:val="auto"/>
          <w:sz w:val="20"/>
          <w:lang w:val="en-US"/>
        </w:rPr>
      </w:pPr>
    </w:p>
    <w:p w14:paraId="33089A1F" w14:textId="56E2FFDF" w:rsidR="00D13CE4" w:rsidRDefault="009B7966" w:rsidP="00D13CE4">
      <w:pPr>
        <w:pStyle w:val="Beschriftung"/>
        <w:keepNext/>
        <w:spacing w:line="276" w:lineRule="auto"/>
        <w:rPr>
          <w:rFonts w:ascii="Arial" w:hAnsi="Arial" w:cs="Arial"/>
          <w:i w:val="0"/>
          <w:color w:val="auto"/>
          <w:sz w:val="22"/>
          <w:lang w:val="en-US"/>
        </w:rPr>
      </w:pPr>
      <w:r>
        <w:rPr>
          <w:lang w:val="en-US"/>
        </w:rPr>
        <w:br w:type="column"/>
      </w:r>
      <w:r w:rsidRPr="009B7966">
        <w:rPr>
          <w:rFonts w:ascii="Arial" w:hAnsi="Arial" w:cs="Arial"/>
          <w:b/>
          <w:i w:val="0"/>
          <w:color w:val="auto"/>
          <w:sz w:val="22"/>
          <w:lang w:val="en-US"/>
        </w:rPr>
        <w:lastRenderedPageBreak/>
        <w:t>Supplementa</w:t>
      </w:r>
      <w:r w:rsidR="001631FD">
        <w:rPr>
          <w:rFonts w:ascii="Arial" w:hAnsi="Arial" w:cs="Arial"/>
          <w:b/>
          <w:i w:val="0"/>
          <w:color w:val="auto"/>
          <w:sz w:val="22"/>
          <w:lang w:val="en-US"/>
        </w:rPr>
        <w:t>ry</w:t>
      </w:r>
      <w:r w:rsidRPr="009B7966">
        <w:rPr>
          <w:rFonts w:ascii="Arial" w:hAnsi="Arial" w:cs="Arial"/>
          <w:b/>
          <w:i w:val="0"/>
          <w:color w:val="auto"/>
          <w:sz w:val="22"/>
          <w:lang w:val="en-US"/>
        </w:rPr>
        <w:t xml:space="preserve"> </w:t>
      </w:r>
      <w:r>
        <w:rPr>
          <w:rFonts w:ascii="Arial" w:hAnsi="Arial" w:cs="Arial"/>
          <w:b/>
          <w:i w:val="0"/>
          <w:color w:val="auto"/>
          <w:sz w:val="22"/>
          <w:lang w:val="en-US"/>
        </w:rPr>
        <w:t>Table S</w:t>
      </w:r>
      <w:r>
        <w:fldChar w:fldCharType="begin"/>
      </w:r>
      <w:r>
        <w:rPr>
          <w:rFonts w:ascii="Arial" w:hAnsi="Arial" w:cs="Arial"/>
          <w:b/>
          <w:i w:val="0"/>
          <w:color w:val="auto"/>
          <w:sz w:val="22"/>
          <w:lang w:val="en-US"/>
        </w:rPr>
        <w:instrText xml:space="preserve"> SEQ Table \* ARABIC </w:instrText>
      </w:r>
      <w:r>
        <w:fldChar w:fldCharType="separate"/>
      </w:r>
      <w:r w:rsidR="001631FD">
        <w:rPr>
          <w:rFonts w:ascii="Arial" w:hAnsi="Arial" w:cs="Arial"/>
          <w:b/>
          <w:i w:val="0"/>
          <w:noProof/>
          <w:color w:val="auto"/>
          <w:sz w:val="22"/>
          <w:lang w:val="en-US"/>
        </w:rPr>
        <w:t>2</w:t>
      </w:r>
      <w:r>
        <w:fldChar w:fldCharType="end"/>
      </w:r>
      <w:r>
        <w:rPr>
          <w:rFonts w:ascii="Arial" w:hAnsi="Arial" w:cs="Arial"/>
          <w:i w:val="0"/>
          <w:color w:val="auto"/>
          <w:sz w:val="22"/>
          <w:lang w:val="en-US"/>
        </w:rPr>
        <w:t xml:space="preserve"> </w:t>
      </w:r>
      <w:r w:rsidR="00D13CE4">
        <w:rPr>
          <w:rFonts w:ascii="Arial" w:hAnsi="Arial" w:cs="Arial"/>
          <w:i w:val="0"/>
          <w:color w:val="auto"/>
          <w:sz w:val="22"/>
          <w:lang w:val="en-US"/>
        </w:rPr>
        <w:t>–</w:t>
      </w:r>
      <w:r>
        <w:rPr>
          <w:rFonts w:ascii="Arial" w:hAnsi="Arial" w:cs="Arial"/>
          <w:i w:val="0"/>
          <w:color w:val="auto"/>
          <w:sz w:val="22"/>
          <w:lang w:val="en-US"/>
        </w:rPr>
        <w:t xml:space="preserve"> </w:t>
      </w:r>
      <w:r w:rsidR="00D13CE4">
        <w:rPr>
          <w:rFonts w:ascii="Arial" w:hAnsi="Arial" w:cs="Arial"/>
          <w:i w:val="0"/>
          <w:color w:val="auto"/>
          <w:sz w:val="22"/>
          <w:lang w:val="en-US"/>
        </w:rPr>
        <w:t xml:space="preserve">Categorized changes of results in the DESK domain “Social behavior” from DESK-R survey wave 2 (DESK-R-SW2; conducted in 2018) to DESK-R survey wave 3 (DESK-R-SW3; conducted in 2019) (N = 948) </w:t>
      </w:r>
    </w:p>
    <w:tbl>
      <w:tblPr>
        <w:tblStyle w:val="Tabellenrast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2268"/>
        <w:gridCol w:w="1417"/>
        <w:gridCol w:w="2131"/>
        <w:gridCol w:w="1418"/>
        <w:gridCol w:w="1134"/>
        <w:gridCol w:w="1276"/>
        <w:gridCol w:w="992"/>
        <w:gridCol w:w="1701"/>
      </w:tblGrid>
      <w:tr w:rsidR="00D13CE4" w14:paraId="2275356B" w14:textId="77777777" w:rsidTr="00526DC2">
        <w:trPr>
          <w:trHeight w:val="502"/>
        </w:trPr>
        <w:tc>
          <w:tcPr>
            <w:tcW w:w="3823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0D73CC" w14:textId="77777777" w:rsidR="00D13CE4" w:rsidRDefault="00D13CE4" w:rsidP="00526DC2">
            <w:pPr>
              <w:spacing w:line="360" w:lineRule="auto"/>
              <w:jc w:val="center"/>
              <w:rPr>
                <w:rFonts w:ascii="Arial" w:hAnsi="Arial" w:cs="Arial"/>
                <w:sz w:val="20"/>
                <w:szCs w:val="16"/>
                <w:lang w:eastAsia="en-US"/>
              </w:rPr>
            </w:pPr>
            <w:bookmarkStart w:id="2" w:name="_Hlk86053798"/>
            <w:proofErr w:type="spellStart"/>
            <w:r>
              <w:rPr>
                <w:rFonts w:ascii="Arial" w:hAnsi="Arial" w:cs="Arial"/>
                <w:sz w:val="20"/>
                <w:szCs w:val="16"/>
                <w:lang w:eastAsia="en-US"/>
              </w:rPr>
              <w:t>Social</w:t>
            </w:r>
            <w:proofErr w:type="spellEnd"/>
            <w:r>
              <w:rPr>
                <w:rFonts w:ascii="Arial" w:hAnsi="Arial" w:cs="Arial"/>
                <w:sz w:val="20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16"/>
                <w:lang w:eastAsia="en-US"/>
              </w:rPr>
              <w:t>behavior</w:t>
            </w:r>
            <w:proofErr w:type="spellEnd"/>
          </w:p>
        </w:tc>
        <w:tc>
          <w:tcPr>
            <w:tcW w:w="4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203F76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 w:eastAsia="en-US"/>
              </w:rPr>
              <w:t>DESK-R-SW3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2F7080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PRR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FBC826" w14:textId="77777777" w:rsidR="00D13CE4" w:rsidRDefault="00D13CE4" w:rsidP="00526DC2">
            <w:pPr>
              <w:jc w:val="center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95% CI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3A3824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n-US" w:eastAsia="en-US"/>
              </w:rPr>
              <w:t>p-</w:t>
            </w: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value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888ADA" w14:textId="77777777" w:rsidR="00D13CE4" w:rsidRDefault="00D13CE4" w:rsidP="00526DC2">
            <w:pPr>
              <w:jc w:val="center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 xml:space="preserve">Ratio of </w:t>
            </w:r>
          </w:p>
          <w:p w14:paraId="5843BBDD" w14:textId="77777777" w:rsidR="00D13CE4" w:rsidRDefault="00D13CE4" w:rsidP="00526DC2">
            <w:pPr>
              <w:jc w:val="center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the rate of improvements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 w:eastAsia="en-US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 xml:space="preserve"> divided by </w:t>
            </w:r>
          </w:p>
          <w:p w14:paraId="398AF210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the rate of deteriorations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 w:eastAsia="en-US"/>
              </w:rPr>
              <w:t>2</w:t>
            </w:r>
          </w:p>
        </w:tc>
      </w:tr>
      <w:tr w:rsidR="00D13CE4" w14:paraId="22D7ED96" w14:textId="77777777" w:rsidTr="00526DC2">
        <w:trPr>
          <w:trHeight w:val="69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8F090A" w14:textId="77777777" w:rsidR="00D13CE4" w:rsidRDefault="00D13CE4" w:rsidP="00526DC2">
            <w:pPr>
              <w:rPr>
                <w:rFonts w:ascii="Arial" w:hAnsi="Arial" w:cs="Arial"/>
                <w:sz w:val="20"/>
                <w:szCs w:val="16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5A7CD4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No finding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73B3B2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 w:eastAsia="en-US"/>
              </w:rPr>
              <w:t>Developmental risk / inconclusive finding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C195F9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Total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A330EB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98A1CD" w14:textId="77777777" w:rsidR="00D13CE4" w:rsidRDefault="00D13CE4" w:rsidP="00526DC2">
            <w:pPr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842E2E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EC8C88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</w:tr>
      <w:tr w:rsidR="00D13CE4" w14:paraId="1403FE1D" w14:textId="77777777" w:rsidTr="00526DC2">
        <w:trPr>
          <w:trHeight w:val="51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C26577" w14:textId="77777777" w:rsidR="00D13CE4" w:rsidRDefault="00D13CE4" w:rsidP="00526DC2">
            <w:pPr>
              <w:rPr>
                <w:rFonts w:ascii="Arial" w:hAnsi="Arial" w:cs="Arial"/>
                <w:sz w:val="20"/>
                <w:szCs w:val="16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BB5521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n (%)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BDB718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n (%)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25E0F9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n (%)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346E59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7A2786" w14:textId="77777777" w:rsidR="00D13CE4" w:rsidRDefault="00D13CE4" w:rsidP="00526DC2">
            <w:pPr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4AF555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B27373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</w:tr>
      <w:tr w:rsidR="00D13CE4" w14:paraId="7CF21E2E" w14:textId="77777777" w:rsidTr="00526DC2">
        <w:trPr>
          <w:trHeight w:val="456"/>
        </w:trPr>
        <w:tc>
          <w:tcPr>
            <w:tcW w:w="15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385169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 w:eastAsia="en-US"/>
              </w:rPr>
              <w:t>DESK-R-SW2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980FCC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No finding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A2D942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745 (78.6)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756BC7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63 (6.6)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B490FB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808 (85.2)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2A9EF0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highlight w:val="yellow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0.82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20280A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highlight w:val="yellow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[0.65-1.03]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ACF314" w14:textId="77777777" w:rsidR="00D13CE4" w:rsidRPr="00860429" w:rsidRDefault="00D13CE4" w:rsidP="00526DC2">
            <w:pPr>
              <w:jc w:val="center"/>
              <w:rPr>
                <w:rFonts w:ascii="Arial" w:hAnsi="Arial" w:cs="Arial"/>
                <w:bCs/>
                <w:color w:val="000000"/>
                <w:lang w:eastAsia="en-US"/>
              </w:rPr>
            </w:pPr>
            <w:r w:rsidRPr="00860429">
              <w:rPr>
                <w:rFonts w:ascii="Arial" w:hAnsi="Arial" w:cs="Arial"/>
                <w:sz w:val="20"/>
                <w:szCs w:val="20"/>
                <w:lang w:val="en-US" w:eastAsia="en-US"/>
              </w:rPr>
              <w:t>0.092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F6323D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 w:rsidRPr="00860429">
              <w:rPr>
                <w:rFonts w:ascii="Arial" w:hAnsi="Arial" w:cs="Arial"/>
                <w:b/>
                <w:bCs/>
                <w:color w:val="000000"/>
                <w:sz w:val="20"/>
                <w:lang w:eastAsia="en-US"/>
              </w:rPr>
              <w:t>8.06</w:t>
            </w:r>
          </w:p>
        </w:tc>
      </w:tr>
      <w:tr w:rsidR="00D13CE4" w14:paraId="7A5A23A4" w14:textId="77777777" w:rsidTr="00526DC2">
        <w:trPr>
          <w:trHeight w:val="70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7CCA9C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75C546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 w:eastAsia="en-US"/>
              </w:rPr>
              <w:t>Developmental risk / inconclusive finding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1DD8FC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88 (9.3)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1A0B20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52 (5.5)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297A5A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140 (14.8)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47C395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2712C1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07580C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C98759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</w:tr>
      <w:tr w:rsidR="00D13CE4" w14:paraId="74336B5C" w14:textId="77777777" w:rsidTr="00526DC2">
        <w:trPr>
          <w:trHeight w:val="5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164143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D29CC1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 w:eastAsia="en-US"/>
              </w:rPr>
              <w:t>Total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D463DF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833 (87.9)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0807A0" w14:textId="77777777" w:rsidR="00D13CE4" w:rsidRDefault="00D13CE4" w:rsidP="00526DC2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>115 (12.1)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196602" w14:textId="77777777" w:rsidR="00D13CE4" w:rsidRDefault="00D13CE4" w:rsidP="00526DC2">
            <w:pPr>
              <w:jc w:val="center"/>
              <w:rPr>
                <w:rFonts w:ascii="Arial" w:hAnsi="Arial" w:cs="Arial"/>
                <w:bCs/>
                <w:color w:val="000000"/>
                <w:lang w:eastAsia="en-US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lang w:eastAsia="en-US"/>
              </w:rPr>
              <w:t>948 (100)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6B4640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72D1E7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EB5DCB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79E42E" w14:textId="77777777" w:rsidR="00D13CE4" w:rsidRDefault="00D13CE4" w:rsidP="00526DC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</w:tr>
    </w:tbl>
    <w:bookmarkEnd w:id="2"/>
    <w:p w14:paraId="73AAA087" w14:textId="77777777" w:rsidR="00D13CE4" w:rsidRDefault="00D13CE4" w:rsidP="00D13CE4">
      <w:pPr>
        <w:widowControl w:val="0"/>
        <w:spacing w:before="120" w:line="276" w:lineRule="auto"/>
        <w:rPr>
          <w:rFonts w:ascii="Arial" w:hAnsi="Arial" w:cs="Arial"/>
          <w:sz w:val="20"/>
          <w:lang w:val="en-US" w:eastAsia="en-US"/>
        </w:rPr>
      </w:pPr>
      <w:r>
        <w:rPr>
          <w:rFonts w:ascii="Arial" w:hAnsi="Arial" w:cs="Arial"/>
          <w:color w:val="010205"/>
          <w:sz w:val="20"/>
          <w:lang w:val="en-US" w:eastAsia="en-US"/>
        </w:rPr>
        <w:t xml:space="preserve">Note: CI = confidence interval; PRR = Prevalence rate ratio; </w:t>
      </w:r>
      <w:r>
        <w:rPr>
          <w:rFonts w:ascii="Arial" w:hAnsi="Arial" w:cs="Arial"/>
          <w:bCs/>
          <w:sz w:val="20"/>
          <w:lang w:val="en-US" w:eastAsia="en-US"/>
        </w:rPr>
        <w:t xml:space="preserve">DESK-R-SW2 = </w:t>
      </w:r>
      <w:r>
        <w:rPr>
          <w:rFonts w:ascii="Arial" w:hAnsi="Arial" w:cs="Arial"/>
          <w:sz w:val="20"/>
          <w:lang w:val="en-US" w:eastAsia="en-US"/>
        </w:rPr>
        <w:t xml:space="preserve">DESK-R survey wave 2; </w:t>
      </w:r>
      <w:r>
        <w:rPr>
          <w:rFonts w:ascii="Arial" w:hAnsi="Arial" w:cs="Arial"/>
          <w:bCs/>
          <w:sz w:val="20"/>
          <w:lang w:val="en-US" w:eastAsia="en-US"/>
        </w:rPr>
        <w:t xml:space="preserve">DESK-R-SW3 = </w:t>
      </w:r>
      <w:r>
        <w:rPr>
          <w:rFonts w:ascii="Arial" w:hAnsi="Arial" w:cs="Arial"/>
          <w:sz w:val="20"/>
          <w:lang w:val="en-US" w:eastAsia="en-US"/>
        </w:rPr>
        <w:t>DESK-R survey wave 3;</w:t>
      </w:r>
      <w:r>
        <w:rPr>
          <w:rFonts w:ascii="Arial" w:hAnsi="Arial" w:cs="Arial"/>
          <w:color w:val="010205"/>
          <w:sz w:val="20"/>
          <w:lang w:val="en-US" w:eastAsia="en-US"/>
        </w:rPr>
        <w:t xml:space="preserve"> </w:t>
      </w:r>
      <w:r>
        <w:rPr>
          <w:rFonts w:ascii="Arial" w:hAnsi="Arial" w:cs="Arial"/>
          <w:color w:val="010205"/>
          <w:sz w:val="20"/>
          <w:vertAlign w:val="superscript"/>
          <w:lang w:val="en-US" w:eastAsia="en-US"/>
        </w:rPr>
        <w:t xml:space="preserve">1 </w:t>
      </w:r>
      <w:r>
        <w:rPr>
          <w:rFonts w:ascii="Arial" w:hAnsi="Arial" w:cs="Arial"/>
          <w:sz w:val="20"/>
          <w:lang w:val="en-US" w:eastAsia="en-US"/>
        </w:rPr>
        <w:t xml:space="preserve">Improvements: risk at </w:t>
      </w:r>
      <w:r>
        <w:rPr>
          <w:rFonts w:ascii="Arial" w:hAnsi="Arial" w:cs="Arial"/>
          <w:bCs/>
          <w:sz w:val="20"/>
          <w:lang w:val="en-US" w:eastAsia="en-US"/>
        </w:rPr>
        <w:t>DESK-R-SW2</w:t>
      </w:r>
      <w:r>
        <w:rPr>
          <w:rFonts w:ascii="Arial" w:hAnsi="Arial" w:cs="Arial"/>
          <w:sz w:val="20"/>
          <w:lang w:val="en-US" w:eastAsia="en-US"/>
        </w:rPr>
        <w:t xml:space="preserve">, no risk at </w:t>
      </w:r>
      <w:r>
        <w:rPr>
          <w:rFonts w:ascii="Arial" w:hAnsi="Arial" w:cs="Arial"/>
          <w:bCs/>
          <w:sz w:val="20"/>
          <w:lang w:val="en-US" w:eastAsia="en-US"/>
        </w:rPr>
        <w:t>DESK-R-SW3</w:t>
      </w:r>
      <w:r>
        <w:rPr>
          <w:rFonts w:ascii="Arial" w:hAnsi="Arial" w:cs="Arial"/>
          <w:sz w:val="20"/>
          <w:lang w:val="en-US" w:eastAsia="en-US"/>
        </w:rPr>
        <w:t xml:space="preserve">; </w:t>
      </w:r>
      <w:r>
        <w:rPr>
          <w:rFonts w:ascii="Arial" w:hAnsi="Arial" w:cs="Arial"/>
          <w:sz w:val="20"/>
          <w:vertAlign w:val="superscript"/>
          <w:lang w:val="en-US" w:eastAsia="en-US"/>
        </w:rPr>
        <w:t>2</w:t>
      </w:r>
      <w:r>
        <w:rPr>
          <w:rFonts w:ascii="Arial" w:hAnsi="Arial" w:cs="Arial"/>
          <w:sz w:val="20"/>
          <w:lang w:val="en-US" w:eastAsia="en-US"/>
        </w:rPr>
        <w:t xml:space="preserve">Deteriorations: no risk at </w:t>
      </w:r>
      <w:r>
        <w:rPr>
          <w:rFonts w:ascii="Arial" w:hAnsi="Arial" w:cs="Arial"/>
          <w:bCs/>
          <w:sz w:val="20"/>
          <w:lang w:val="en-US" w:eastAsia="en-US"/>
        </w:rPr>
        <w:t>DESK-R-SW2</w:t>
      </w:r>
      <w:r>
        <w:rPr>
          <w:rFonts w:ascii="Arial" w:hAnsi="Arial" w:cs="Arial"/>
          <w:sz w:val="20"/>
          <w:lang w:val="en-US" w:eastAsia="en-US"/>
        </w:rPr>
        <w:t xml:space="preserve">, risk in </w:t>
      </w:r>
      <w:r>
        <w:rPr>
          <w:rFonts w:ascii="Arial" w:hAnsi="Arial" w:cs="Arial"/>
          <w:bCs/>
          <w:sz w:val="20"/>
          <w:lang w:val="en-US" w:eastAsia="en-US"/>
        </w:rPr>
        <w:t>DESK-R-SW3</w:t>
      </w:r>
    </w:p>
    <w:p w14:paraId="3F1812BC" w14:textId="4C2A4A9A" w:rsidR="00D13CE4" w:rsidRDefault="00D13CE4" w:rsidP="009B7966">
      <w:pPr>
        <w:pStyle w:val="Beschriftung"/>
        <w:keepNext/>
        <w:spacing w:line="276" w:lineRule="auto"/>
        <w:rPr>
          <w:rFonts w:ascii="Arial" w:hAnsi="Arial" w:cs="Arial"/>
          <w:i w:val="0"/>
          <w:color w:val="auto"/>
          <w:sz w:val="22"/>
          <w:lang w:val="en-US"/>
        </w:rPr>
      </w:pPr>
    </w:p>
    <w:sectPr w:rsidR="00D13CE4" w:rsidSect="009B7966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4A4"/>
    <w:rsid w:val="000737D5"/>
    <w:rsid w:val="001631FD"/>
    <w:rsid w:val="00173AAA"/>
    <w:rsid w:val="00284CBE"/>
    <w:rsid w:val="002D4902"/>
    <w:rsid w:val="003F731F"/>
    <w:rsid w:val="004A27CE"/>
    <w:rsid w:val="005100BA"/>
    <w:rsid w:val="005C7DC6"/>
    <w:rsid w:val="006054EE"/>
    <w:rsid w:val="006C452D"/>
    <w:rsid w:val="007C44A4"/>
    <w:rsid w:val="00860429"/>
    <w:rsid w:val="009A0571"/>
    <w:rsid w:val="009B7966"/>
    <w:rsid w:val="00B467FF"/>
    <w:rsid w:val="00BA43AA"/>
    <w:rsid w:val="00D13CE4"/>
    <w:rsid w:val="00F11496"/>
    <w:rsid w:val="00F500B4"/>
    <w:rsid w:val="00FD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D434C"/>
  <w15:chartTrackingRefBased/>
  <w15:docId w15:val="{31DFBB9E-3938-4736-9B59-C41D467F6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B79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9B7966"/>
    <w:pPr>
      <w:spacing w:before="100" w:beforeAutospacing="1" w:after="100" w:afterAutospacing="1"/>
    </w:pPr>
  </w:style>
  <w:style w:type="paragraph" w:styleId="Beschriftung">
    <w:name w:val="caption"/>
    <w:basedOn w:val="Standard"/>
    <w:next w:val="Standard"/>
    <w:uiPriority w:val="35"/>
    <w:unhideWhenUsed/>
    <w:qFormat/>
    <w:rsid w:val="009B7966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eastAsia="en-US"/>
    </w:rPr>
  </w:style>
  <w:style w:type="table" w:styleId="Tabellenraster">
    <w:name w:val="Table Grid"/>
    <w:basedOn w:val="NormaleTabelle"/>
    <w:uiPriority w:val="59"/>
    <w:rsid w:val="009B796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4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986C65-3819-4A72-A410-500B3B234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248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Anika Kästner</dc:creator>
  <cp:keywords/>
  <dc:description/>
  <cp:lastModifiedBy>Anika Kästner</cp:lastModifiedBy>
  <cp:revision>18</cp:revision>
  <cp:lastPrinted>2022-06-02T13:47:00Z</cp:lastPrinted>
  <dcterms:created xsi:type="dcterms:W3CDTF">2022-05-20T10:04:00Z</dcterms:created>
  <dcterms:modified xsi:type="dcterms:W3CDTF">2022-06-07T07:05:00Z</dcterms:modified>
</cp:coreProperties>
</file>