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6BBDD" w14:textId="53B814C2" w:rsidR="00D525CC" w:rsidRDefault="000D4D08" w:rsidP="00F44E76">
      <w:pPr>
        <w:pStyle w:val="Tittel"/>
        <w:rPr>
          <w:lang w:val="en-US"/>
        </w:rPr>
      </w:pPr>
      <w:r>
        <w:rPr>
          <w:lang w:val="en-US"/>
        </w:rPr>
        <w:t>Appendix A</w:t>
      </w:r>
      <w:bookmarkStart w:id="0" w:name="_GoBack"/>
      <w:bookmarkEnd w:id="0"/>
      <w:r w:rsidR="00D525CC">
        <w:rPr>
          <w:lang w:val="en-US"/>
        </w:rPr>
        <w:t>:</w:t>
      </w:r>
    </w:p>
    <w:p w14:paraId="048C1269" w14:textId="12FF347A" w:rsidR="00F44E76" w:rsidRDefault="00F44E76" w:rsidP="00D525CC">
      <w:pPr>
        <w:spacing w:line="360" w:lineRule="auto"/>
        <w:jc w:val="both"/>
        <w:rPr>
          <w:rFonts w:cstheme="minorHAnsi"/>
          <w:lang w:val="en-US"/>
        </w:rPr>
      </w:pPr>
    </w:p>
    <w:p w14:paraId="1AA12876" w14:textId="251FB0E7" w:rsidR="004854F7" w:rsidRDefault="004854F7" w:rsidP="00D525CC">
      <w:pPr>
        <w:spacing w:line="360" w:lineRule="auto"/>
        <w:jc w:val="both"/>
        <w:rPr>
          <w:rFonts w:cstheme="minorHAnsi"/>
          <w:b/>
          <w:lang w:val="en-US"/>
        </w:rPr>
      </w:pPr>
      <w:r>
        <w:rPr>
          <w:rFonts w:cstheme="minorHAnsi"/>
          <w:b/>
          <w:lang w:val="en-US"/>
        </w:rPr>
        <w:t>Study population:</w:t>
      </w:r>
    </w:p>
    <w:p w14:paraId="5F486D27" w14:textId="711735DA" w:rsidR="004854F7" w:rsidRDefault="004854F7" w:rsidP="004854F7">
      <w:pPr>
        <w:spacing w:line="360" w:lineRule="auto"/>
        <w:jc w:val="both"/>
        <w:rPr>
          <w:rFonts w:cstheme="minorHAnsi"/>
          <w:lang w:val="en-US"/>
        </w:rPr>
      </w:pPr>
      <w:r w:rsidRPr="00FA28CA">
        <w:rPr>
          <w:rFonts w:cstheme="minorHAnsi"/>
          <w:i/>
          <w:iCs/>
          <w:lang w:val="en-US"/>
        </w:rPr>
        <w:t>Study population:</w:t>
      </w:r>
      <w:r w:rsidRPr="00197973">
        <w:rPr>
          <w:rFonts w:cstheme="minorHAnsi"/>
          <w:lang w:val="en-US"/>
        </w:rPr>
        <w:t xml:space="preserve"> Patient records were extracted from electronic health records, from </w:t>
      </w:r>
      <w:r>
        <w:rPr>
          <w:rFonts w:cstheme="minorHAnsi"/>
          <w:lang w:val="en-US"/>
        </w:rPr>
        <w:t>women</w:t>
      </w:r>
      <w:r w:rsidRPr="00197973">
        <w:rPr>
          <w:rFonts w:cstheme="minorHAnsi"/>
          <w:lang w:val="en-US"/>
        </w:rPr>
        <w:t xml:space="preserve"> giving birth by non-elective CS at </w:t>
      </w:r>
      <w:proofErr w:type="spellStart"/>
      <w:r w:rsidRPr="00197973">
        <w:rPr>
          <w:rFonts w:cstheme="minorHAnsi"/>
          <w:lang w:val="en-US"/>
        </w:rPr>
        <w:t>Nordsjællands</w:t>
      </w:r>
      <w:proofErr w:type="spellEnd"/>
      <w:r w:rsidRPr="00197973">
        <w:rPr>
          <w:rFonts w:cstheme="minorHAnsi"/>
          <w:lang w:val="en-US"/>
        </w:rPr>
        <w:t xml:space="preserve"> Hospital</w:t>
      </w:r>
      <w:r>
        <w:rPr>
          <w:rFonts w:cstheme="minorHAnsi"/>
          <w:lang w:val="en-US"/>
        </w:rPr>
        <w:t>,</w:t>
      </w:r>
      <w:r w:rsidRPr="00197973">
        <w:rPr>
          <w:rFonts w:cstheme="minorHAnsi"/>
          <w:lang w:val="en-US"/>
        </w:rPr>
        <w:t xml:space="preserve"> </w:t>
      </w:r>
      <w:proofErr w:type="spellStart"/>
      <w:r w:rsidRPr="00197973">
        <w:rPr>
          <w:rFonts w:cstheme="minorHAnsi"/>
          <w:lang w:val="en-US"/>
        </w:rPr>
        <w:t>Hillerød</w:t>
      </w:r>
      <w:proofErr w:type="spellEnd"/>
      <w:r w:rsidRPr="00197973">
        <w:rPr>
          <w:rFonts w:cstheme="minorHAnsi"/>
          <w:lang w:val="en-US"/>
        </w:rPr>
        <w:t xml:space="preserve">, in the period from January </w:t>
      </w:r>
      <w:r>
        <w:rPr>
          <w:rFonts w:cstheme="minorHAnsi"/>
          <w:lang w:val="en-US"/>
        </w:rPr>
        <w:t>1</w:t>
      </w:r>
      <w:r w:rsidRPr="00686C9C">
        <w:rPr>
          <w:rFonts w:cstheme="minorHAnsi"/>
          <w:vertAlign w:val="superscript"/>
          <w:lang w:val="en-US"/>
        </w:rPr>
        <w:t>st</w:t>
      </w:r>
      <w:r>
        <w:rPr>
          <w:rFonts w:cstheme="minorHAnsi"/>
          <w:lang w:val="en-US"/>
        </w:rPr>
        <w:t xml:space="preserve"> </w:t>
      </w:r>
      <w:r w:rsidRPr="00197973">
        <w:rPr>
          <w:rFonts w:cstheme="minorHAnsi"/>
          <w:lang w:val="en-US"/>
        </w:rPr>
        <w:t>2010 until February</w:t>
      </w:r>
      <w:r>
        <w:rPr>
          <w:rFonts w:cstheme="minorHAnsi"/>
          <w:lang w:val="en-US"/>
        </w:rPr>
        <w:t xml:space="preserve"> 15</w:t>
      </w:r>
      <w:r w:rsidRPr="00686C9C">
        <w:rPr>
          <w:rFonts w:cstheme="minorHAnsi"/>
          <w:vertAlign w:val="superscript"/>
          <w:lang w:val="en-US"/>
        </w:rPr>
        <w:t>th</w:t>
      </w:r>
      <w:r>
        <w:rPr>
          <w:rFonts w:cstheme="minorHAnsi"/>
          <w:lang w:val="en-US"/>
        </w:rPr>
        <w:t xml:space="preserve"> </w:t>
      </w:r>
      <w:r w:rsidRPr="00197973">
        <w:rPr>
          <w:rFonts w:cstheme="minorHAnsi"/>
          <w:lang w:val="en-US"/>
        </w:rPr>
        <w:t>2017. All records (n=2</w:t>
      </w:r>
      <w:r>
        <w:rPr>
          <w:rFonts w:cstheme="minorHAnsi"/>
          <w:lang w:val="en-US"/>
        </w:rPr>
        <w:t>,</w:t>
      </w:r>
      <w:r w:rsidRPr="00197973">
        <w:rPr>
          <w:rFonts w:cstheme="minorHAnsi"/>
          <w:lang w:val="en-US"/>
        </w:rPr>
        <w:t xml:space="preserve">892) were reviewed </w:t>
      </w:r>
      <w:r>
        <w:rPr>
          <w:rFonts w:cstheme="minorHAnsi"/>
          <w:lang w:val="en-US"/>
        </w:rPr>
        <w:t>and</w:t>
      </w:r>
      <w:r w:rsidRPr="00197973">
        <w:rPr>
          <w:rFonts w:cstheme="minorHAnsi"/>
          <w:lang w:val="en-US"/>
        </w:rPr>
        <w:t xml:space="preserve"> prenatal risk factors, labor management</w:t>
      </w:r>
      <w:r>
        <w:rPr>
          <w:rFonts w:cstheme="minorHAnsi"/>
          <w:lang w:val="en-US"/>
        </w:rPr>
        <w:t>,</w:t>
      </w:r>
      <w:r w:rsidRPr="00197973">
        <w:rPr>
          <w:rFonts w:cstheme="minorHAnsi"/>
          <w:lang w:val="en-US"/>
        </w:rPr>
        <w:t xml:space="preserve"> and perinatal outcomes</w:t>
      </w:r>
      <w:r>
        <w:rPr>
          <w:rFonts w:cstheme="minorHAnsi"/>
          <w:lang w:val="en-US"/>
        </w:rPr>
        <w:t xml:space="preserve"> were recorded</w:t>
      </w:r>
      <w:r w:rsidRPr="00197973">
        <w:rPr>
          <w:rFonts w:cstheme="minorHAnsi"/>
          <w:lang w:val="en-US"/>
        </w:rPr>
        <w:t>. Duplets (n=4) and m</w:t>
      </w:r>
      <w:r w:rsidRPr="00FC40B0">
        <w:rPr>
          <w:rFonts w:cstheme="minorHAnsi"/>
          <w:lang w:val="en-US"/>
        </w:rPr>
        <w:t>isclassification</w:t>
      </w:r>
      <w:r w:rsidRPr="00197973">
        <w:rPr>
          <w:rFonts w:cstheme="minorHAnsi"/>
          <w:lang w:val="en-US"/>
        </w:rPr>
        <w:t xml:space="preserve"> of </w:t>
      </w:r>
      <w:r>
        <w:rPr>
          <w:rFonts w:cstheme="minorHAnsi"/>
          <w:lang w:val="en-US"/>
        </w:rPr>
        <w:t xml:space="preserve">non-elective </w:t>
      </w:r>
      <w:r w:rsidRPr="00197973">
        <w:rPr>
          <w:rFonts w:cstheme="minorHAnsi"/>
          <w:lang w:val="en-US"/>
        </w:rPr>
        <w:t>CS (n=</w:t>
      </w:r>
      <w:r>
        <w:rPr>
          <w:rFonts w:cstheme="minorHAnsi"/>
          <w:lang w:val="en-US"/>
        </w:rPr>
        <w:t>2</w:t>
      </w:r>
      <w:r w:rsidRPr="00197973">
        <w:rPr>
          <w:rFonts w:cstheme="minorHAnsi"/>
          <w:lang w:val="en-US"/>
        </w:rPr>
        <w:t>) were excluded from the dataset. Furthermore, non-Danish residents</w:t>
      </w:r>
      <w:r>
        <w:rPr>
          <w:rFonts w:cstheme="minorHAnsi"/>
          <w:lang w:val="en-US"/>
        </w:rPr>
        <w:t xml:space="preserve"> (due to lack of unique identification number)</w:t>
      </w:r>
      <w:r w:rsidRPr="00197973">
        <w:rPr>
          <w:rFonts w:cstheme="minorHAnsi"/>
          <w:lang w:val="en-US"/>
        </w:rPr>
        <w:t xml:space="preserve"> (n=71), records with missing </w:t>
      </w:r>
      <w:r>
        <w:rPr>
          <w:rFonts w:cstheme="minorHAnsi"/>
          <w:lang w:val="en-US"/>
        </w:rPr>
        <w:t>entries</w:t>
      </w:r>
      <w:r w:rsidRPr="00197973">
        <w:rPr>
          <w:rFonts w:cstheme="minorHAnsi"/>
          <w:lang w:val="en-US"/>
        </w:rPr>
        <w:t xml:space="preserve"> (n=33), </w:t>
      </w:r>
      <w:r>
        <w:rPr>
          <w:rFonts w:cstheme="minorHAnsi"/>
          <w:lang w:val="en-US"/>
        </w:rPr>
        <w:t>women</w:t>
      </w:r>
      <w:r w:rsidRPr="00197973">
        <w:rPr>
          <w:rFonts w:cstheme="minorHAnsi"/>
          <w:lang w:val="en-US"/>
        </w:rPr>
        <w:t xml:space="preserve"> </w:t>
      </w:r>
      <w:r>
        <w:rPr>
          <w:rFonts w:cstheme="minorHAnsi"/>
          <w:lang w:val="en-US"/>
        </w:rPr>
        <w:t xml:space="preserve">with administration of antibiotics before cord clamping </w:t>
      </w:r>
      <w:r w:rsidRPr="00197973">
        <w:rPr>
          <w:rFonts w:cstheme="minorHAnsi"/>
          <w:lang w:val="en-US"/>
        </w:rPr>
        <w:t>(n=</w:t>
      </w:r>
      <w:r>
        <w:rPr>
          <w:rFonts w:cstheme="minorHAnsi"/>
          <w:lang w:val="en-US"/>
        </w:rPr>
        <w:t>8</w:t>
      </w:r>
      <w:r w:rsidRPr="00197973">
        <w:rPr>
          <w:rFonts w:cstheme="minorHAnsi"/>
          <w:lang w:val="en-US"/>
        </w:rPr>
        <w:t xml:space="preserve">), and </w:t>
      </w:r>
      <w:r>
        <w:rPr>
          <w:rFonts w:cstheme="minorHAnsi"/>
          <w:lang w:val="en-US"/>
        </w:rPr>
        <w:t>women</w:t>
      </w:r>
      <w:r w:rsidRPr="00197973">
        <w:rPr>
          <w:rFonts w:cstheme="minorHAnsi"/>
          <w:lang w:val="en-US"/>
        </w:rPr>
        <w:t xml:space="preserve"> transferred from hospitals outside the Capital Region Denmark, where electronic health records were not available (n=</w:t>
      </w:r>
      <w:r>
        <w:rPr>
          <w:rFonts w:cstheme="minorHAnsi"/>
          <w:lang w:val="en-US"/>
        </w:rPr>
        <w:t>3</w:t>
      </w:r>
      <w:r w:rsidRPr="00197973">
        <w:rPr>
          <w:rFonts w:cstheme="minorHAnsi"/>
          <w:lang w:val="en-US"/>
        </w:rPr>
        <w:t xml:space="preserve">) were excluded. A total of </w:t>
      </w:r>
      <w:r w:rsidRPr="00E01E7C">
        <w:rPr>
          <w:rFonts w:cstheme="minorHAnsi"/>
          <w:color w:val="000000" w:themeColor="text1"/>
          <w:lang w:val="en-US"/>
        </w:rPr>
        <w:t xml:space="preserve">167 records </w:t>
      </w:r>
      <w:r w:rsidRPr="00197973">
        <w:rPr>
          <w:rFonts w:cstheme="minorHAnsi"/>
          <w:lang w:val="en-US"/>
        </w:rPr>
        <w:t xml:space="preserve">were excluded, see figure </w:t>
      </w:r>
      <w:r>
        <w:rPr>
          <w:rFonts w:cstheme="minorHAnsi"/>
          <w:lang w:val="en-US"/>
        </w:rPr>
        <w:t>1</w:t>
      </w:r>
      <w:r w:rsidRPr="00197973">
        <w:rPr>
          <w:rFonts w:cstheme="minorHAnsi"/>
          <w:lang w:val="en-US"/>
        </w:rPr>
        <w:t>.</w:t>
      </w:r>
      <w:r>
        <w:rPr>
          <w:rFonts w:cstheme="minorHAnsi"/>
          <w:color w:val="FF0000"/>
          <w:lang w:val="en-US"/>
        </w:rPr>
        <w:t xml:space="preserve">  </w:t>
      </w:r>
      <w:r w:rsidRPr="007C024A">
        <w:rPr>
          <w:rFonts w:cstheme="minorHAnsi"/>
          <w:color w:val="000000" w:themeColor="text1"/>
          <w:lang w:val="en-US"/>
        </w:rPr>
        <w:t xml:space="preserve">Furthermore, 174 records were excluded for risk factor analysis, due to missing information on BMI, CS </w:t>
      </w:r>
      <w:r>
        <w:rPr>
          <w:rFonts w:cstheme="minorHAnsi"/>
          <w:color w:val="000000" w:themeColor="text1"/>
          <w:lang w:val="en-US"/>
        </w:rPr>
        <w:t>grade</w:t>
      </w:r>
      <w:r w:rsidRPr="007C024A">
        <w:rPr>
          <w:rFonts w:cstheme="minorHAnsi"/>
          <w:color w:val="000000" w:themeColor="text1"/>
          <w:lang w:val="en-US"/>
        </w:rPr>
        <w:t xml:space="preserve"> and/or previous CS.</w:t>
      </w:r>
    </w:p>
    <w:p w14:paraId="4BD25660" w14:textId="77777777" w:rsidR="004854F7" w:rsidRDefault="004854F7" w:rsidP="00D525CC">
      <w:pPr>
        <w:spacing w:line="360" w:lineRule="auto"/>
        <w:jc w:val="both"/>
        <w:rPr>
          <w:rFonts w:cstheme="minorHAnsi"/>
          <w:b/>
          <w:lang w:val="en-US"/>
        </w:rPr>
      </w:pPr>
    </w:p>
    <w:p w14:paraId="638CDCCC" w14:textId="66D52960" w:rsidR="00F44E76" w:rsidRPr="00F44E76" w:rsidRDefault="00F44E76" w:rsidP="00D525CC">
      <w:pPr>
        <w:spacing w:line="360" w:lineRule="auto"/>
        <w:jc w:val="both"/>
        <w:rPr>
          <w:rFonts w:cstheme="minorHAnsi"/>
          <w:b/>
          <w:lang w:val="en-US"/>
        </w:rPr>
      </w:pPr>
      <w:r w:rsidRPr="00F44E76">
        <w:rPr>
          <w:rFonts w:cstheme="minorHAnsi"/>
          <w:b/>
          <w:lang w:val="en-US"/>
        </w:rPr>
        <w:t>Definitions</w:t>
      </w:r>
    </w:p>
    <w:p w14:paraId="2BDE8774" w14:textId="77777777" w:rsidR="00F44E76" w:rsidRDefault="00F44E76" w:rsidP="00F44E76">
      <w:pPr>
        <w:spacing w:line="360" w:lineRule="auto"/>
        <w:jc w:val="both"/>
        <w:rPr>
          <w:rFonts w:cstheme="minorHAnsi"/>
          <w:lang w:val="en-US"/>
        </w:rPr>
      </w:pPr>
      <w:r>
        <w:rPr>
          <w:rFonts w:cstheme="minorHAnsi"/>
          <w:lang w:val="en-US"/>
        </w:rPr>
        <w:t xml:space="preserve">The variable </w:t>
      </w:r>
      <w:r w:rsidRPr="00F44E76">
        <w:rPr>
          <w:rFonts w:cstheme="minorHAnsi"/>
          <w:i/>
          <w:lang w:val="en-US"/>
        </w:rPr>
        <w:t>intrapartum antibiotics</w:t>
      </w:r>
      <w:r w:rsidRPr="00197973">
        <w:rPr>
          <w:rFonts w:cstheme="minorHAnsi"/>
          <w:lang w:val="en-US"/>
        </w:rPr>
        <w:t xml:space="preserve"> </w:t>
      </w:r>
      <w:r>
        <w:rPr>
          <w:rFonts w:cstheme="minorHAnsi"/>
          <w:lang w:val="en-US"/>
        </w:rPr>
        <w:t>comprised</w:t>
      </w:r>
      <w:r w:rsidRPr="00197973">
        <w:rPr>
          <w:rFonts w:cstheme="minorHAnsi"/>
          <w:lang w:val="en-US"/>
        </w:rPr>
        <w:t xml:space="preserve"> the following</w:t>
      </w:r>
      <w:r>
        <w:rPr>
          <w:rFonts w:cstheme="minorHAnsi"/>
          <w:lang w:val="en-US"/>
        </w:rPr>
        <w:t xml:space="preserve"> cases</w:t>
      </w:r>
      <w:r w:rsidRPr="00197973">
        <w:rPr>
          <w:rFonts w:cstheme="minorHAnsi"/>
          <w:lang w:val="en-US"/>
        </w:rPr>
        <w:t>; prolonged rupture of membranes</w:t>
      </w:r>
      <w:r>
        <w:rPr>
          <w:rFonts w:cstheme="minorHAnsi"/>
          <w:lang w:val="en-US"/>
        </w:rPr>
        <w:t xml:space="preserve"> (&gt;18/24 hours, guideline change in 2013)</w:t>
      </w:r>
      <w:r w:rsidRPr="00197973">
        <w:rPr>
          <w:rFonts w:cstheme="minorHAnsi"/>
          <w:lang w:val="en-US"/>
        </w:rPr>
        <w:t xml:space="preserve">, preterm </w:t>
      </w:r>
      <w:proofErr w:type="spellStart"/>
      <w:r>
        <w:rPr>
          <w:rFonts w:cstheme="minorHAnsi"/>
          <w:lang w:val="en-US"/>
        </w:rPr>
        <w:t>prelabor</w:t>
      </w:r>
      <w:proofErr w:type="spellEnd"/>
      <w:r>
        <w:rPr>
          <w:rFonts w:cstheme="minorHAnsi"/>
          <w:lang w:val="en-US"/>
        </w:rPr>
        <w:t xml:space="preserve"> </w:t>
      </w:r>
      <w:r w:rsidRPr="00197973">
        <w:rPr>
          <w:rFonts w:cstheme="minorHAnsi"/>
          <w:lang w:val="en-US"/>
        </w:rPr>
        <w:t>rupture of membranes, fever during labor</w:t>
      </w:r>
      <w:r>
        <w:rPr>
          <w:rFonts w:cstheme="minorHAnsi"/>
          <w:lang w:val="en-US"/>
        </w:rPr>
        <w:t xml:space="preserve"> (≥38°C)</w:t>
      </w:r>
      <w:r w:rsidRPr="00197973">
        <w:rPr>
          <w:rFonts w:cstheme="minorHAnsi"/>
          <w:lang w:val="en-US"/>
        </w:rPr>
        <w:t xml:space="preserve">, group B streptococcus urinary tract infection, urinary tract infections caused by other bacterial agents, pneumonia, middle ear infection, gastroenteritis, sinusitis, throat infection, </w:t>
      </w:r>
      <w:r>
        <w:rPr>
          <w:rFonts w:cstheme="minorHAnsi"/>
          <w:lang w:val="en-US"/>
        </w:rPr>
        <w:t>multi-resistant Streptococcus Aureus</w:t>
      </w:r>
      <w:r w:rsidRPr="00197973">
        <w:rPr>
          <w:rFonts w:cstheme="minorHAnsi"/>
          <w:lang w:val="en-US"/>
        </w:rPr>
        <w:t xml:space="preserve"> or a combination of the mentioned.</w:t>
      </w:r>
    </w:p>
    <w:p w14:paraId="48B516F5" w14:textId="6137691A" w:rsidR="00F44E76" w:rsidRDefault="00F44E76" w:rsidP="00D525CC">
      <w:pPr>
        <w:spacing w:line="360" w:lineRule="auto"/>
        <w:jc w:val="both"/>
        <w:rPr>
          <w:rFonts w:cstheme="minorHAnsi"/>
          <w:lang w:val="en-US"/>
        </w:rPr>
      </w:pPr>
    </w:p>
    <w:p w14:paraId="25C7E4F6" w14:textId="4F948470" w:rsidR="00F44E76" w:rsidRPr="00F44E76" w:rsidRDefault="00F44E76" w:rsidP="00D525CC">
      <w:pPr>
        <w:spacing w:line="360" w:lineRule="auto"/>
        <w:jc w:val="both"/>
        <w:rPr>
          <w:rFonts w:cstheme="minorHAnsi"/>
          <w:b/>
          <w:lang w:val="en-US"/>
        </w:rPr>
      </w:pPr>
      <w:r w:rsidRPr="00F44E76">
        <w:rPr>
          <w:rFonts w:cstheme="minorHAnsi"/>
          <w:b/>
          <w:lang w:val="en-US"/>
        </w:rPr>
        <w:t>Review of record</w:t>
      </w:r>
      <w:r>
        <w:rPr>
          <w:rFonts w:cstheme="minorHAnsi"/>
          <w:b/>
          <w:lang w:val="en-US"/>
        </w:rPr>
        <w:t xml:space="preserve">s </w:t>
      </w:r>
      <w:r w:rsidRPr="00F44E76">
        <w:rPr>
          <w:rFonts w:cstheme="minorHAnsi"/>
          <w:b/>
          <w:lang w:val="en-US"/>
        </w:rPr>
        <w:t>and sampled variables</w:t>
      </w:r>
    </w:p>
    <w:p w14:paraId="090085E3" w14:textId="21161333" w:rsidR="00F44E76" w:rsidRPr="006902E5" w:rsidRDefault="00F44E76" w:rsidP="00D525CC">
      <w:pPr>
        <w:spacing w:line="360" w:lineRule="auto"/>
        <w:jc w:val="both"/>
        <w:rPr>
          <w:rFonts w:cstheme="minorHAnsi"/>
        </w:rPr>
      </w:pPr>
      <w:r>
        <w:rPr>
          <w:rFonts w:cstheme="minorHAnsi"/>
          <w:lang w:val="en-US"/>
        </w:rPr>
        <w:t>For the review of records w</w:t>
      </w:r>
      <w:r w:rsidRPr="0049347B">
        <w:rPr>
          <w:rFonts w:cstheme="minorHAnsi"/>
          <w:lang w:val="en-US"/>
        </w:rPr>
        <w:t>e collected data on</w:t>
      </w:r>
      <w:r>
        <w:rPr>
          <w:rFonts w:cstheme="minorHAnsi"/>
          <w:lang w:val="en-US"/>
        </w:rPr>
        <w:t>:</w:t>
      </w:r>
      <w:r>
        <w:rPr>
          <w:rFonts w:cstheme="minorHAnsi"/>
          <w:lang w:val="en-US"/>
        </w:rPr>
        <w:t xml:space="preserve"> residency, maternal age at delivery, pre-pregnancy weight and height, gestational age, parity, previous CS, smoking status at birth, pre-pregnancy chronic illness (somatic and psychiatric), development of a pregnancy related illness (preeclampsia, gestational hypertension, gestational diabetes mellitus, group B streptococcus urinary tract infection or polymorphic eruption of pregnancy), use of medication during pregnancy and type of medication, whether a labor was induced or spontaneous, any type of infection during labor, intrapartum fever, intrapartum usage of antibiotics, indication and type of antibiotics, rupture of membranes at any time before CS, indication for performing CS, CS grade in accordance to urgency </w:t>
      </w:r>
      <w:r>
        <w:rPr>
          <w:rFonts w:cstheme="minorHAnsi"/>
          <w:lang w:val="en-US"/>
        </w:rPr>
        <w:lastRenderedPageBreak/>
        <w:fldChar w:fldCharType="begin" w:fldLock="1"/>
      </w:r>
      <w:r>
        <w:rPr>
          <w:rFonts w:cstheme="minorHAnsi"/>
          <w:lang w:val="en-US"/>
        </w:rPr>
        <w:instrText>ADDIN CSL_CITATION {"citationItems":[{"id":"ITEM-1","itemData":{"URL":"http://gynobsguideline.dk/sandbjerg/090405 Guideline Akut sectio - klassifikation  Sandbjerg 2009.pdf","author":[{"dropping-particle":"","family":"Shokouh-Amiri","given":"Ali","non-dropping-particle":"","parse-names":false,"suffix":""},{"dropping-particle":"","family":"Ristorp","given":"Betina","non-dropping-particle":"","parse-names":false,"suffix":""},{"dropping-particle":"","family":"Weitling","given":"Eva","non-dropping-particle":"","parse-names":false,"suffix":""},{"dropping-particle":"","family":"Westergaard","given":"Hanne Brix","non-dropping-particle":"","parse-names":false,"suffix":""},{"dropping-particle":"","family":"Lyngsø","given":"Jane","non-dropping-particle":"","parse-names":false,"suffix":""},{"dropping-particle":"","family":"Høj","given":"Lars","non-dropping-particle":"","parse-names":false,"suffix":""},{"dropping-particle":"","family":"Hvidman","given":"Lone","non-dropping-particle":"","parse-names":false,"suffix":""},{"dropping-particle":"","family":"Møller","given":"Margrethe","non-dropping-particle":"","parse-names":false,"suffix":""},{"dropping-particle":"","family":"Virkus","given":"Rie","non-dropping-particle":"","parse-names":false,"suffix":""},{"dropping-particle":"","family":"Vinkel","given":"Ulla","non-dropping-particle":"","parse-names":false,"suffix":""},{"dropping-particle":"","family":"Klemmensen","given":"Åse","non-dropping-particle":"","parse-names":false,"suffix":""}],"id":"ITEM-1","issued":{"date-parts":[["2009"]]},"title":"Akut sectio - klassifikation, melding og organisation","type":"webpage"},"uris":["http://www.mendeley.com/documents/?uuid=fd3eeb51-f837-4b73-9bc7-0b7b47ad389e"]}],"mendeley":{"formattedCitation":"(22)","plainTextFormattedCitation":"(22)","previouslyFormattedCitation":"(22)"},"properties":{"noteIndex":0},"schema":"https://github.com/citation-style-language/schema/raw/master/csl-citation.json"}</w:instrText>
      </w:r>
      <w:r>
        <w:rPr>
          <w:rFonts w:cstheme="minorHAnsi"/>
          <w:lang w:val="en-US"/>
        </w:rPr>
        <w:fldChar w:fldCharType="separate"/>
      </w:r>
      <w:r w:rsidRPr="00E63E07">
        <w:rPr>
          <w:rFonts w:cstheme="minorHAnsi"/>
          <w:noProof/>
          <w:lang w:val="en-US"/>
        </w:rPr>
        <w:t>(22)</w:t>
      </w:r>
      <w:r>
        <w:rPr>
          <w:rFonts w:cstheme="minorHAnsi"/>
          <w:lang w:val="en-US"/>
        </w:rPr>
        <w:fldChar w:fldCharType="end"/>
      </w:r>
      <w:r>
        <w:rPr>
          <w:rFonts w:cstheme="minorHAnsi"/>
          <w:lang w:val="en-US"/>
        </w:rPr>
        <w:t xml:space="preserve">, whether antibiotics were given prior to or after clamping the cord, type of anesthesia, development of postpartum infection and type of infection. We </w:t>
      </w:r>
      <w:r>
        <w:rPr>
          <w:rFonts w:cstheme="minorHAnsi"/>
          <w:lang w:val="en-US"/>
        </w:rPr>
        <w:t xml:space="preserve">also </w:t>
      </w:r>
      <w:r>
        <w:rPr>
          <w:rFonts w:cstheme="minorHAnsi"/>
          <w:lang w:val="en-US"/>
        </w:rPr>
        <w:t>captured data on</w:t>
      </w:r>
      <w:r w:rsidRPr="00197973">
        <w:rPr>
          <w:rFonts w:cstheme="minorHAnsi"/>
          <w:lang w:val="en-US"/>
        </w:rPr>
        <w:t xml:space="preserve"> </w:t>
      </w:r>
      <w:r>
        <w:rPr>
          <w:rFonts w:cstheme="minorHAnsi"/>
          <w:lang w:val="en-US"/>
        </w:rPr>
        <w:t>how many days after CS infection develops, postpartum body temperature if infection was present, whether postpartum infection was treated with antibiotics, whether patient is hospitalized due to infection and for how long, if patient is admitted to the intensive care unit, and infection of the child and admission on children’s ward</w:t>
      </w:r>
    </w:p>
    <w:p w14:paraId="64C90662" w14:textId="4735BC52" w:rsidR="00D525CC" w:rsidRDefault="00D525CC" w:rsidP="00D525CC">
      <w:pPr>
        <w:jc w:val="both"/>
        <w:rPr>
          <w:lang w:val="en-US"/>
        </w:rPr>
      </w:pPr>
    </w:p>
    <w:p w14:paraId="73867459" w14:textId="2F8604C6" w:rsidR="003D017D" w:rsidRPr="006902E5" w:rsidRDefault="003D017D" w:rsidP="00D525CC">
      <w:pPr>
        <w:jc w:val="both"/>
        <w:rPr>
          <w:b/>
          <w:sz w:val="32"/>
          <w:lang w:val="en-US"/>
        </w:rPr>
      </w:pPr>
      <w:r w:rsidRPr="006902E5">
        <w:rPr>
          <w:b/>
          <w:sz w:val="32"/>
          <w:lang w:val="en-US"/>
        </w:rPr>
        <w:t>Results</w:t>
      </w:r>
    </w:p>
    <w:p w14:paraId="4371DF8B" w14:textId="0299B982" w:rsidR="006902E5" w:rsidRDefault="006902E5" w:rsidP="00D525CC">
      <w:pPr>
        <w:jc w:val="both"/>
        <w:rPr>
          <w:b/>
          <w:lang w:val="en-US"/>
        </w:rPr>
      </w:pPr>
    </w:p>
    <w:p w14:paraId="49925D7B" w14:textId="77777777" w:rsidR="006902E5" w:rsidRPr="00F44E76" w:rsidRDefault="006902E5" w:rsidP="006902E5">
      <w:pPr>
        <w:spacing w:line="360" w:lineRule="auto"/>
        <w:jc w:val="both"/>
        <w:rPr>
          <w:rFonts w:cstheme="minorHAnsi"/>
          <w:b/>
          <w:lang w:val="en-US"/>
        </w:rPr>
      </w:pPr>
      <w:r w:rsidRPr="00F44E76">
        <w:rPr>
          <w:rFonts w:cstheme="minorHAnsi"/>
          <w:b/>
          <w:lang w:val="en-US"/>
        </w:rPr>
        <w:t xml:space="preserve">Outcomes </w:t>
      </w:r>
      <w:r>
        <w:rPr>
          <w:rFonts w:cstheme="minorHAnsi"/>
          <w:b/>
          <w:lang w:val="en-US"/>
        </w:rPr>
        <w:t>more than</w:t>
      </w:r>
      <w:r w:rsidRPr="00F44E76">
        <w:rPr>
          <w:rFonts w:cstheme="minorHAnsi"/>
          <w:b/>
          <w:lang w:val="en-US"/>
        </w:rPr>
        <w:t xml:space="preserve"> 30 days from delivery</w:t>
      </w:r>
    </w:p>
    <w:p w14:paraId="0F191F63" w14:textId="77777777" w:rsidR="006902E5" w:rsidRDefault="006902E5" w:rsidP="006902E5">
      <w:pPr>
        <w:spacing w:line="360" w:lineRule="auto"/>
        <w:jc w:val="both"/>
        <w:rPr>
          <w:rFonts w:cstheme="minorHAnsi"/>
          <w:b/>
          <w:bCs/>
          <w:lang w:val="en-US"/>
        </w:rPr>
      </w:pPr>
      <w:r>
        <w:rPr>
          <w:rFonts w:cstheme="minorHAnsi"/>
          <w:lang w:val="en-US"/>
        </w:rPr>
        <w:t>Besides the patients with a primary outcome described in the main article, two additional patients were diagnosed with endometritis, one diagnosed with sepsis, and one diagnosed with surgical-site infection, but these patients had an infection diagnosed later than 30 days after delivery. Furthermore, a total of 22 cases of mastitis, one case of unknown focus, and one case of urinary tract infection, were diagnosed later than 30 days after delivery.</w:t>
      </w:r>
    </w:p>
    <w:p w14:paraId="5E6E53D1" w14:textId="51D5DB6D" w:rsidR="006902E5" w:rsidRDefault="006902E5" w:rsidP="00D525CC">
      <w:pPr>
        <w:jc w:val="both"/>
        <w:rPr>
          <w:b/>
          <w:lang w:val="en-US"/>
        </w:rPr>
      </w:pPr>
    </w:p>
    <w:p w14:paraId="144FC2DC" w14:textId="528706A0" w:rsidR="006902E5" w:rsidRPr="003D017D" w:rsidRDefault="006902E5" w:rsidP="00D525CC">
      <w:pPr>
        <w:jc w:val="both"/>
        <w:rPr>
          <w:b/>
          <w:lang w:val="en-US"/>
        </w:rPr>
      </w:pPr>
      <w:r>
        <w:rPr>
          <w:b/>
          <w:lang w:val="en-US"/>
        </w:rPr>
        <w:t>Secondary outcomes</w:t>
      </w:r>
    </w:p>
    <w:p w14:paraId="465BCE55" w14:textId="77777777" w:rsidR="003D017D" w:rsidRDefault="003D017D" w:rsidP="003D017D">
      <w:pPr>
        <w:spacing w:line="360" w:lineRule="auto"/>
        <w:jc w:val="both"/>
        <w:rPr>
          <w:rFonts w:cstheme="minorHAnsi"/>
          <w:lang w:val="en-US"/>
        </w:rPr>
      </w:pPr>
      <w:r>
        <w:rPr>
          <w:rFonts w:cstheme="minorHAnsi"/>
          <w:lang w:val="en-US"/>
        </w:rPr>
        <w:t>The following were identified as significant risk factors for developing a secondary infection: CS grade 2 (OR=2.15, 95%CI 1.02-4.54), intrapartum fever (OR=3.05, 95%CI 1.46-6.33) and intrapartum antibiotics (OR=3.23, 95%CI 1.62-6.43) predicts having an infection of unknown focus (</w:t>
      </w:r>
      <w:r w:rsidRPr="005E769A">
        <w:rPr>
          <w:rFonts w:cstheme="minorHAnsi"/>
          <w:lang w:val="en-US"/>
        </w:rPr>
        <w:t xml:space="preserve">Table </w:t>
      </w:r>
      <w:r>
        <w:rPr>
          <w:rFonts w:cstheme="minorHAnsi"/>
          <w:lang w:val="en-US"/>
        </w:rPr>
        <w:t xml:space="preserve">S1, supporting information). Smoking (OR=12.74, 95%CI 2.83-57.24) and CS grade 1 (OR=18.43, 95%CI 1.91-178.0) predicts a higher risk of getting pneumonia. Rupture of membranes predicts a lower risk of getting a urinary tract infection (OR=0.50, 95%CI 0.29-0.85). </w:t>
      </w:r>
    </w:p>
    <w:p w14:paraId="6EC994BB" w14:textId="77777777" w:rsidR="003D017D" w:rsidRPr="00D525CC" w:rsidRDefault="003D017D" w:rsidP="00D525CC">
      <w:pPr>
        <w:jc w:val="both"/>
        <w:rPr>
          <w:lang w:val="en-US"/>
        </w:rPr>
      </w:pPr>
    </w:p>
    <w:sectPr w:rsidR="003D017D" w:rsidRPr="00D525CC" w:rsidSect="00023996">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5CC"/>
    <w:rsid w:val="00023996"/>
    <w:rsid w:val="000D4D08"/>
    <w:rsid w:val="003D017D"/>
    <w:rsid w:val="004854F7"/>
    <w:rsid w:val="006902E5"/>
    <w:rsid w:val="006D0A99"/>
    <w:rsid w:val="00C13525"/>
    <w:rsid w:val="00D525CC"/>
    <w:rsid w:val="00F44E7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6376"/>
  <w15:chartTrackingRefBased/>
  <w15:docId w15:val="{1DA183A6-336D-7944-9ED3-9081C988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525CC"/>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D525CC"/>
    <w:rPr>
      <w:rFonts w:ascii="Times New Roman" w:hAnsi="Times New Roman" w:cs="Times New Roman"/>
      <w:sz w:val="18"/>
      <w:szCs w:val="18"/>
    </w:rPr>
  </w:style>
  <w:style w:type="paragraph" w:styleId="Tittel">
    <w:name w:val="Title"/>
    <w:basedOn w:val="Normal"/>
    <w:next w:val="Normal"/>
    <w:link w:val="TittelTegn"/>
    <w:uiPriority w:val="10"/>
    <w:qFormat/>
    <w:rsid w:val="00F44E7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44E76"/>
    <w:rPr>
      <w:rFonts w:asciiTheme="majorHAnsi" w:eastAsiaTheme="majorEastAsia" w:hAnsiTheme="majorHAnsi" w:cstheme="majorBidi"/>
      <w:spacing w:val="-10"/>
      <w:kern w:val="28"/>
      <w:sz w:val="56"/>
      <w:szCs w:val="56"/>
    </w:rPr>
  </w:style>
  <w:style w:type="character" w:styleId="Merknadsreferanse">
    <w:name w:val="annotation reference"/>
    <w:basedOn w:val="Standardskriftforavsnitt"/>
    <w:uiPriority w:val="99"/>
    <w:semiHidden/>
    <w:unhideWhenUsed/>
    <w:rsid w:val="00F44E76"/>
    <w:rPr>
      <w:sz w:val="16"/>
      <w:szCs w:val="16"/>
    </w:rPr>
  </w:style>
  <w:style w:type="paragraph" w:styleId="Merknadstekst">
    <w:name w:val="annotation text"/>
    <w:basedOn w:val="Normal"/>
    <w:link w:val="MerknadstekstTegn"/>
    <w:uiPriority w:val="99"/>
    <w:unhideWhenUsed/>
    <w:rsid w:val="00F44E76"/>
    <w:pPr>
      <w:spacing w:after="160"/>
    </w:pPr>
    <w:rPr>
      <w:sz w:val="20"/>
      <w:szCs w:val="20"/>
    </w:rPr>
  </w:style>
  <w:style w:type="character" w:customStyle="1" w:styleId="MerknadstekstTegn">
    <w:name w:val="Merknadstekst Tegn"/>
    <w:basedOn w:val="Standardskriftforavsnitt"/>
    <w:link w:val="Merknadstekst"/>
    <w:uiPriority w:val="99"/>
    <w:rsid w:val="00F44E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924</Words>
  <Characters>4899</Characters>
  <Application>Microsoft Office Word</Application>
  <DocSecurity>0</DocSecurity>
  <Lines>40</Lines>
  <Paragraphs>11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Mikkel Nielsen</dc:creator>
  <cp:keywords/>
  <dc:description/>
  <cp:lastModifiedBy>Paul Axelsson Bryde</cp:lastModifiedBy>
  <cp:revision>4</cp:revision>
  <dcterms:created xsi:type="dcterms:W3CDTF">2020-10-09T12:33:00Z</dcterms:created>
  <dcterms:modified xsi:type="dcterms:W3CDTF">2022-05-15T15:35:00Z</dcterms:modified>
</cp:coreProperties>
</file>