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2D3" w:rsidRDefault="003752D3" w:rsidP="003752D3">
      <w:pPr>
        <w:pStyle w:val="Nagwek1"/>
        <w:spacing w:before="0" w:line="480" w:lineRule="auto"/>
        <w:rPr>
          <w:rFonts w:ascii="Times New Roman" w:hAnsi="Times New Roman" w:cs="Times New Roman"/>
          <w:b/>
          <w:color w:val="auto"/>
          <w:lang w:val="en-US"/>
        </w:rPr>
      </w:pPr>
      <w:r>
        <w:rPr>
          <w:rFonts w:ascii="Times New Roman" w:hAnsi="Times New Roman" w:cs="Times New Roman"/>
          <w:b/>
          <w:color w:val="auto"/>
          <w:lang w:val="en-US"/>
        </w:rPr>
        <w:t>Supplementary information</w:t>
      </w:r>
    </w:p>
    <w:p w:rsidR="003752D3" w:rsidRDefault="003752D3" w:rsidP="003752D3">
      <w:pPr>
        <w:spacing w:line="480" w:lineRule="auto"/>
        <w:jc w:val="both"/>
        <w:rPr>
          <w:lang w:val="en-US"/>
        </w:rPr>
      </w:pPr>
      <w:proofErr w:type="spellStart"/>
      <w:r>
        <w:rPr>
          <w:lang w:val="en-US"/>
        </w:rPr>
        <w:t>Supplementary_Method</w:t>
      </w:r>
      <w:proofErr w:type="spellEnd"/>
      <w:r>
        <w:rPr>
          <w:lang w:val="en-US"/>
        </w:rPr>
        <w:t xml:space="preserve">: The description of not published GWAS performed by Sell-Kubiak et al. </w:t>
      </w:r>
      <w:r>
        <w:rPr>
          <w:lang w:val="en-US"/>
        </w:rPr>
        <w:fldChar w:fldCharType="begin" w:fldLock="1"/>
      </w:r>
      <w:r>
        <w:rPr>
          <w:lang w:val="en-US"/>
        </w:rPr>
        <w:instrText>ADDIN CSL_CITATION {"citationItems":[{"id":"ITEM-1","itemData":{"DOI":"10.1186/s12864-015-2273-y","ISSN":"14712164","abstract":"© 2015 Sell-Kubiak et al. Background: In many traits, not only individual trait levels are under genetic control, but also the variation around that level. In other words, genotypes do not only differ in mean, but also in (residual) variation around the genotypic mean. New statistical methods facilitate gaining knowledge on the genetic architecture of complex traits such as phenotypic variability. Here we study litter size (total number born) and its variation in a Large White pig population using a Double Hierarchical Generalized Linear model, and perform a genome-wide association study using a Bayesian method. Results: In total, 10 significant single nucleotide polymorphisms (SNPs) were detected for total number born (TNB) and 9 SNPs for variability of TNB (varTNB). Those SNPs explained 0.83 % of genetic variance in TNB and 1.44 % in varTNB. The most significant SNP for TNB was detected on Sus scrofa chromosome (SSC) 11. A possible candidate gene for TNB is ENOX1, which is involved in cell growth and survival. On SSC7, two possible candidate genes for varTNB are located. The first gene is coding a swine heat shock protein 90 (HSPCB = Hsp90), which is a well-studied gene stabilizing morphological traits in Drosophila and Arabidopsis. The second gene is VEGFA, which is activated in angiogenesis and vasculogenesis in the fetus. Furthermore, the genetic correlation between additive genetic effects on TNB and on its variation was 0.49. This indicates that the current selection to increase TNB will also increase the varTNB. Conclusions: To the best of our knowledge, this is the first study reporting SNPs associated with variation of a trait in pigs. Detected genomic regions associated with varTNB can be used in genomic selection to decrease varTNB, which is highly desirable to avoid very small or very large litters in pigs. However, the percentage of variance explained by those regions was small. The SNPs detected in this study can be used as indication for regions in the Sus scrofa genome involved in maintaining low variability of litter size, but further studies are needed to identify the causative loci.","author":[{"dropping-particle":"","family":"Sell-Kubiak","given":"E.","non-dropping-particle":"","parse-names":false,"suffix":""},{"dropping-particle":"","family":"Duijvesteijn","given":"N.","non-dropping-particle":"","parse-names":false,"suffix":""},{"dropping-particle":"","family":"Lopes","given":"M.S.","non-dropping-particle":"","parse-names":false,"suffix":""},{"dropping-particle":"","family":"Janss","given":"L.L.G.","non-dropping-particle":"","parse-names":false,"suffix":""},{"dropping-particle":"","family":"Knol","given":"E.F.","non-dropping-particle":"","parse-names":false,"suffix":""},{"dropping-particle":"","family":"Bijma","given":"P.","non-dropping-particle":"","parse-names":false,"suffix":""},{"dropping-particle":"","family":"Mulder","given":"H.A.","non-dropping-particle":"","parse-names":false,"suffix":""}],"container-title":"BMC Genomics","id":"ITEM-1","issue":"1","issued":{"date-parts":[["2015"]]},"page":"1049; 10.1186/s12864-015-2273-y","title":"Genome-wide association study reveals novel loci for litter size and its variability in a Large White pig population","type":"article-journal","volume":"16"},"uris":["http://www.mendeley.com/documents/?uuid=ce7221c1-ee3d-39cc-a024-d1b32e5126b2"]}],"mendeley":{"formattedCitation":"[23]","plainTextFormattedCitation":"[23]","previouslyFormattedCitation":"[23]"},"properties":{"noteIndex":0},"schema":"https://github.com/citation-style-language/schema/raw/master/csl-citation.json"}</w:instrText>
      </w:r>
      <w:r>
        <w:rPr>
          <w:lang w:val="en-US"/>
        </w:rPr>
        <w:fldChar w:fldCharType="separate"/>
      </w:r>
      <w:r>
        <w:rPr>
          <w:noProof/>
          <w:lang w:val="en-US"/>
        </w:rPr>
        <w:t>[23]</w:t>
      </w:r>
      <w:r>
        <w:rPr>
          <w:lang w:val="en-US"/>
        </w:rPr>
        <w:fldChar w:fldCharType="end"/>
      </w:r>
    </w:p>
    <w:p w:rsidR="003752D3" w:rsidRDefault="003752D3" w:rsidP="003752D3">
      <w:pPr>
        <w:spacing w:line="480" w:lineRule="auto"/>
        <w:jc w:val="both"/>
        <w:rPr>
          <w:lang w:val="en-US"/>
        </w:rPr>
      </w:pPr>
      <w:proofErr w:type="spellStart"/>
      <w:r>
        <w:rPr>
          <w:lang w:val="en-US"/>
        </w:rPr>
        <w:t>Supplementary_Tables</w:t>
      </w:r>
      <w:proofErr w:type="spellEnd"/>
      <w:r>
        <w:rPr>
          <w:lang w:val="en-US"/>
        </w:rPr>
        <w:t xml:space="preserve">: </w:t>
      </w:r>
      <w:r>
        <w:rPr>
          <w:b/>
          <w:lang w:val="en-US"/>
        </w:rPr>
        <w:t>Table S1.</w:t>
      </w:r>
      <w:r>
        <w:rPr>
          <w:lang w:val="en-US"/>
        </w:rPr>
        <w:t xml:space="preserve"> SNPs associated with total number born in pigs with their location within pig genome (including chromosome - SSC, position and gene), alleles as well as breed in which the SNP was detected. </w:t>
      </w:r>
      <w:r>
        <w:rPr>
          <w:b/>
          <w:lang w:val="en-US"/>
        </w:rPr>
        <w:t>Table S2.</w:t>
      </w:r>
      <w:r>
        <w:rPr>
          <w:lang w:val="en-US"/>
        </w:rPr>
        <w:t xml:space="preserve"> SNPs associated with number born alive in pigs with their location within pig genome (including chromosome - SSC, position and gene), alleles as well as breed in which the SNP was detected. </w:t>
      </w:r>
      <w:r>
        <w:rPr>
          <w:b/>
          <w:lang w:val="en-US"/>
        </w:rPr>
        <w:t>Table S3.</w:t>
      </w:r>
      <w:r>
        <w:rPr>
          <w:lang w:val="en-US"/>
        </w:rPr>
        <w:t xml:space="preserve"> SNPs associated with number of stillborn in pigs with their location within pig genome (including chromosome - SSC, position and gene), alleles as well as breed in which the SNP was detected. </w:t>
      </w:r>
      <w:r>
        <w:rPr>
          <w:b/>
          <w:lang w:val="en-US"/>
        </w:rPr>
        <w:t>Table S4.</w:t>
      </w:r>
      <w:r>
        <w:rPr>
          <w:lang w:val="en-US"/>
        </w:rPr>
        <w:t xml:space="preserve"> SNPs associated with litter birthweight in pigs with their location within pig genome (including chromosome, position and gene), alleles as well as breed in which the SNP was detected. </w:t>
      </w:r>
      <w:r>
        <w:rPr>
          <w:b/>
          <w:lang w:val="en-US"/>
        </w:rPr>
        <w:t>Table S5.</w:t>
      </w:r>
      <w:r>
        <w:rPr>
          <w:lang w:val="en-US"/>
        </w:rPr>
        <w:t xml:space="preserve"> SNPs associated with corpus luteum number in pigs with their location within pig genome (including chromosome, position and gene), alleles as well as breed in which the SNP was detected. </w:t>
      </w:r>
      <w:r>
        <w:rPr>
          <w:b/>
          <w:lang w:val="en-US"/>
        </w:rPr>
        <w:t>Full references presented in Tables S1-S5</w:t>
      </w:r>
      <w:r>
        <w:rPr>
          <w:lang w:val="en-US"/>
        </w:rPr>
        <w:t>.</w:t>
      </w:r>
    </w:p>
    <w:p w:rsidR="00A34528" w:rsidRPr="003752D3" w:rsidRDefault="00A34528">
      <w:pPr>
        <w:rPr>
          <w:lang w:val="en-US"/>
        </w:rPr>
      </w:pPr>
      <w:bookmarkStart w:id="0" w:name="_GoBack"/>
      <w:bookmarkEnd w:id="0"/>
    </w:p>
    <w:sectPr w:rsidR="00A34528" w:rsidRPr="003752D3" w:rsidSect="003C1914">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2D3"/>
    <w:rsid w:val="003752D3"/>
    <w:rsid w:val="003C1914"/>
    <w:rsid w:val="00A345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4C05D-821C-4F79-8597-21E6C80F3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752D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3752D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752D3"/>
    <w:rPr>
      <w:rFonts w:asciiTheme="majorHAnsi" w:eastAsiaTheme="majorEastAsia" w:hAnsiTheme="majorHAnsi" w:cstheme="majorBidi"/>
      <w:color w:val="2F5496"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92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701</Words>
  <Characters>4210</Characters>
  <Application>Microsoft Office Word</Application>
  <DocSecurity>0</DocSecurity>
  <Lines>35</Lines>
  <Paragraphs>9</Paragraphs>
  <ScaleCrop>false</ScaleCrop>
  <Company/>
  <LinksUpToDate>false</LinksUpToDate>
  <CharactersWithSpaces>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Sell-Kubiak</dc:creator>
  <cp:keywords/>
  <dc:description/>
  <cp:lastModifiedBy>Ewa Sell-Kubiak</cp:lastModifiedBy>
  <cp:revision>2</cp:revision>
  <dcterms:created xsi:type="dcterms:W3CDTF">2022-07-11T07:43:00Z</dcterms:created>
  <dcterms:modified xsi:type="dcterms:W3CDTF">2022-07-11T07:44:00Z</dcterms:modified>
</cp:coreProperties>
</file>