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765" w:tblpY="1843"/>
        <w:tblOverlap w:val="never"/>
        <w:tblW w:w="8409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4"/>
        <w:gridCol w:w="1914"/>
        <w:gridCol w:w="1659"/>
        <w:gridCol w:w="208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754" w:type="dxa"/>
            <w:tcBorders>
              <w:bottom w:val="single" w:color="auto" w:sz="4" w:space="0"/>
              <w:right w:val="nil"/>
            </w:tcBorders>
          </w:tcPr>
          <w:p>
            <w:pPr>
              <w:widowControl w:val="0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Characteristic</w:t>
            </w:r>
          </w:p>
        </w:tc>
        <w:tc>
          <w:tcPr>
            <w:tcW w:w="1914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Normal compare</w:t>
            </w:r>
          </w:p>
        </w:tc>
        <w:tc>
          <w:tcPr>
            <w:tcW w:w="1659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Rejection group</w:t>
            </w:r>
          </w:p>
        </w:tc>
        <w:tc>
          <w:tcPr>
            <w:tcW w:w="2082" w:type="dxa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Non-rejection group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 w:val="0"/>
              <w:rPr>
                <w:rFonts w:hint="default" w:ascii="Times New Roman" w:hAnsi="Times New Roman" w:eastAsia="AdvP2A67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Total cohort</w:t>
            </w:r>
          </w:p>
        </w:tc>
        <w:tc>
          <w:tcPr>
            <w:tcW w:w="19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165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208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rPr>
                <w:rFonts w:hint="default" w:ascii="Times New Roman" w:hAnsi="Times New Roman" w:eastAsia="AdvP2A67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Sex (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ale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  <w:lang w:val="en-US" w:eastAsia="zh-CN"/>
              </w:rPr>
              <w:t>/Female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3/6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/11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/11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Age(years)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32.11±5.58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31.68±25.55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20.26±23.31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rPr>
                <w:rFonts w:hint="default" w:ascii="Times New Roman" w:hAnsi="Times New Roman" w:eastAsia="AdvP2A67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  <w:lang w:val="en-US" w:eastAsia="zh-CN"/>
              </w:rPr>
              <w:t>R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outine blood test</w:t>
            </w:r>
          </w:p>
          <w:p>
            <w:pPr>
              <w:widowControl w:val="0"/>
              <w:ind w:firstLine="180" w:firstLineChars="100"/>
              <w:rPr>
                <w:rFonts w:hint="default" w:ascii="Times New Roman" w:hAnsi="Times New Roman" w:eastAsia="AdvP2A67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  <w:lang w:val="en-US" w:eastAsia="zh-CN"/>
              </w:rPr>
              <w:t>WBC(×10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  <w:vertAlign w:val="superscript"/>
                <w:lang w:val="en-US" w:eastAsia="zh-CN"/>
              </w:rPr>
              <w:t>9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  <w:vertAlign w:val="baseline"/>
                <w:lang w:val="en-US" w:eastAsia="zh-CN"/>
              </w:rPr>
              <w:t>/L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7.02±2.55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7.66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3.39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6.34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2.63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ind w:firstLine="180" w:firstLineChars="100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shd w:val="clear" w:fill="FFFFFF"/>
              </w:rPr>
              <w:t>eutrophil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val="en-US" w:eastAsia="zh-CN"/>
              </w:rPr>
              <w:t>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60.48±10.95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5.55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33.7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5.0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10.92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ind w:firstLine="180" w:firstLineChars="100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val="en-US" w:eastAsia="zh-CN"/>
              </w:rPr>
              <w:t>L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shd w:val="clear" w:fill="FFFFFF"/>
              </w:rPr>
              <w:t>eukocyte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shd w:val="clear" w:fill="FFFFFF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%)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30.40±9.13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34.78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21.06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5.13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ind w:firstLine="180" w:firstLineChars="100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RBC(×10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/L)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4.75±0.72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4.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25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1.07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4.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35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±0.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rPr>
                <w:rFonts w:hint="default" w:ascii="Times New Roman" w:hAnsi="Times New Roman" w:eastAsia="AdvP2A67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Liver function</w:t>
            </w:r>
          </w:p>
          <w:p>
            <w:pPr>
              <w:widowControl w:val="0"/>
              <w:spacing w:beforeLines="0" w:afterLines="0"/>
              <w:ind w:firstLine="180" w:firstLineChars="100"/>
              <w:jc w:val="left"/>
              <w:rPr>
                <w:rFonts w:hint="default" w:ascii="Times New Roman" w:hAnsi="Times New Roman" w:eastAsia="AdvP2A67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AST (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9-60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U/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L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 xml:space="preserve">) </w:t>
            </w:r>
          </w:p>
          <w:p>
            <w:pPr>
              <w:widowControl w:val="0"/>
              <w:ind w:firstLine="180" w:firstLineChars="100"/>
              <w:rPr>
                <w:rFonts w:hint="default" w:ascii="Times New Roman" w:hAnsi="Times New Roman" w:eastAsia="AdvP2A67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ALT (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0-40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U/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L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)</w:t>
            </w:r>
          </w:p>
          <w:p>
            <w:pPr>
              <w:widowControl w:val="0"/>
              <w:ind w:firstLine="180" w:firstLineChars="100"/>
              <w:rPr>
                <w:rFonts w:hint="default" w:ascii="Times New Roman" w:hAnsi="Times New Roman" w:eastAsia="AdvP2A67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  <w:lang w:val="en-US" w:eastAsia="zh-CN"/>
              </w:rPr>
              <w:t>Albumin(40-55g/L)</w:t>
            </w:r>
          </w:p>
          <w:p>
            <w:pPr>
              <w:widowControl w:val="0"/>
              <w:numPr>
                <w:ilvl w:val="0"/>
                <w:numId w:val="1"/>
              </w:numPr>
              <w:ind w:left="178" w:leftChars="85" w:firstLine="0" w:firstLineChars="0"/>
              <w:jc w:val="left"/>
              <w:rPr>
                <w:rFonts w:hint="default" w:ascii="Times New Roman" w:hAnsi="Times New Roman" w:eastAsia="AdvP2A67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BIL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(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3.42-17.1 </w:t>
            </w:r>
            <w:bookmarkStart w:id="0" w:name="OLE_LINK44"/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μ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mmol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/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L</w:t>
            </w:r>
            <w:bookmarkEnd w:id="0"/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)</w:t>
            </w:r>
          </w:p>
          <w:p>
            <w:pPr>
              <w:widowControl w:val="0"/>
              <w:numPr>
                <w:ilvl w:val="0"/>
                <w:numId w:val="0"/>
              </w:numPr>
              <w:ind w:leftChars="85"/>
              <w:jc w:val="left"/>
              <w:rPr>
                <w:rFonts w:hint="default" w:ascii="Times New Roman" w:hAnsi="Times New Roman" w:eastAsia="AdvP2A67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  <w:lang w:val="en-US" w:eastAsia="zh-CN"/>
              </w:rPr>
              <w:t>INR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22.00±27.12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42.32±74.21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40.89±3.20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14.13±9.83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1.11±0.08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03.23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2.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81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*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00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33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147.02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  <w:t>*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superscrip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8.52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4.84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6.96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±3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1.7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1.2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±0.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22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34.96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37.09</w:t>
            </w:r>
          </w:p>
          <w:p>
            <w:pPr>
              <w:widowControl w:val="0"/>
              <w:jc w:val="center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30.31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46.76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39.01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±5.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77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5.4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9.78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1.1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±0.1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 xml:space="preserve">Transplant 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i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ndication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(cases)</w:t>
            </w:r>
          </w:p>
          <w:p>
            <w:pPr>
              <w:widowControl w:val="0"/>
              <w:spacing w:beforeLines="0" w:afterLines="0"/>
              <w:ind w:firstLine="180" w:firstLineChars="100"/>
              <w:jc w:val="left"/>
              <w:rPr>
                <w:rFonts w:hint="default" w:ascii="Times New Roman" w:hAnsi="Times New Roman" w:eastAsia="AdvP2A67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Cirrhosis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fldChar w:fldCharType="begin"/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instrText xml:space="preserve"> HYPERLINK "C:/Program%20Files%20(x86)/Youdao/Dict/8.9.6.0/resultui/html/index.html" \l "/javascript:;" </w:instrTex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fldChar w:fldCharType="separate"/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biliary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fldChar w:fldCharType="end"/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 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fldChar w:fldCharType="begin"/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instrText xml:space="preserve"> HYPERLINK "C:/Program%20Files%20(x86)/Youdao/Dict/8.9.6.0/resultui/html/index.html" \l "/javascript:;" </w:instrTex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fldChar w:fldCharType="separate"/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atresia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fldChar w:fldCharType="end"/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 </w:t>
            </w:r>
          </w:p>
          <w:p>
            <w:pPr>
              <w:widowControl w:val="0"/>
              <w:spacing w:beforeLines="0" w:afterLines="0"/>
              <w:ind w:firstLine="180" w:firstLineChars="100"/>
              <w:jc w:val="left"/>
              <w:rPr>
                <w:rFonts w:hint="default" w:ascii="Times New Roman" w:hAnsi="Times New Roman" w:eastAsia="AdvP2A67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 xml:space="preserve">HBV cirrhosis </w:t>
            </w:r>
          </w:p>
          <w:p>
            <w:pPr>
              <w:widowControl w:val="0"/>
              <w:spacing w:beforeLines="0" w:afterLines="0"/>
              <w:ind w:firstLine="180" w:firstLineChars="100"/>
              <w:jc w:val="left"/>
              <w:rPr>
                <w:rFonts w:hint="default" w:ascii="Times New Roman" w:hAnsi="Times New Roman" w:eastAsia="AdvP2A67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 xml:space="preserve">Alcoholic cirrhosis </w:t>
            </w:r>
          </w:p>
          <w:p>
            <w:pPr>
              <w:widowControl w:val="0"/>
              <w:ind w:firstLine="180" w:firstLineChars="100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UCDs</w:t>
            </w:r>
          </w:p>
          <w:p>
            <w:pPr>
              <w:widowControl w:val="0"/>
              <w:ind w:firstLine="180" w:firstLineChars="100"/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NASH-LC</w:t>
            </w:r>
          </w:p>
          <w:p>
            <w:pPr>
              <w:widowControl w:val="0"/>
              <w:ind w:firstLine="180" w:firstLineChars="100"/>
              <w:rPr>
                <w:rFonts w:hint="default" w:ascii="Times New Roman" w:hAnsi="Times New Roman" w:eastAsia="AdvP2A67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Other causes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  <w:p>
            <w:pPr>
              <w:widowControl w:val="0"/>
              <w:jc w:val="center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8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</w:t>
            </w:r>
          </w:p>
          <w:p>
            <w:pPr>
              <w:widowControl w:val="0"/>
              <w:jc w:val="center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  <w:p>
            <w:pPr>
              <w:widowControl w:val="0"/>
              <w:jc w:val="center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>Procedure</w:t>
            </w:r>
          </w:p>
          <w:p>
            <w:pPr>
              <w:widowControl w:val="0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 DDLT</w:t>
            </w:r>
          </w:p>
          <w:p>
            <w:pPr>
              <w:widowControl w:val="0"/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vertAlign w:val="baseline"/>
                <w:lang w:val="en-US" w:eastAsia="zh-CN"/>
              </w:rPr>
              <w:t xml:space="preserve">  LDLT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GRWR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2.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93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±1.1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2.1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±1.0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T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ransplant to biopsy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Months)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1.69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±25.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9.88</w:t>
            </w: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±66.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 w:val="0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Immunosuppressive therapy</w:t>
            </w: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>(cases)</w:t>
            </w:r>
          </w:p>
          <w:p>
            <w:pPr>
              <w:widowControl w:val="0"/>
              <w:ind w:firstLine="180" w:firstLineChars="100"/>
              <w:rPr>
                <w:rFonts w:hint="default" w:ascii="Times New Roman" w:hAnsi="Times New Roman" w:eastAsia="AdvP2A67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Tacrolimus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 xml:space="preserve">monotherapy </w:t>
            </w:r>
          </w:p>
          <w:p>
            <w:pPr>
              <w:widowControl w:val="0"/>
              <w:ind w:firstLine="180" w:firstLineChars="100"/>
              <w:rPr>
                <w:rFonts w:hint="default" w:ascii="Times New Roman" w:hAnsi="Times New Roman" w:eastAsia="AdvP2A67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Tacrolimus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  <w:lang w:val="en-US" w:eastAsia="zh-CN"/>
              </w:rPr>
              <w:t>+</w:t>
            </w:r>
            <w:r>
              <w:rPr>
                <w:rFonts w:hint="default" w:ascii="Times New Roman" w:hAnsi="Times New Roman" w:eastAsia="AdvP2A67" w:cs="Times New Roman"/>
                <w:sz w:val="18"/>
                <w:szCs w:val="18"/>
              </w:rPr>
              <w:t>mycophenolate</w:t>
            </w:r>
          </w:p>
          <w:p>
            <w:pPr>
              <w:widowControl w:val="0"/>
              <w:spacing w:beforeLines="0" w:afterLines="0"/>
              <w:ind w:firstLine="180" w:firstLineChars="100"/>
              <w:jc w:val="left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zh-CN"/>
              </w:rPr>
              <w:t xml:space="preserve">Others </w:t>
            </w: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  <w:p>
            <w:pPr>
              <w:widowControl w:val="0"/>
              <w:jc w:val="center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7</w:t>
            </w: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</w:t>
            </w:r>
          </w:p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208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6</w:t>
            </w:r>
          </w:p>
          <w:p>
            <w:pPr>
              <w:widowControl w:val="0"/>
              <w:jc w:val="center"/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5</w:t>
            </w:r>
          </w:p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</w:tbl>
    <w:p>
      <w:pPr>
        <w:spacing w:beforeLines="0" w:afterLines="0"/>
        <w:jc w:val="left"/>
        <w:rPr>
          <w:rFonts w:hint="default" w:ascii="Times New Roman" w:hAnsi="Times New Roman" w:cs="Times New Roman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Table S1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: </w:t>
      </w:r>
      <w:r>
        <w:rPr>
          <w:rFonts w:hint="default" w:ascii="Times New Roman" w:hAnsi="Times New Roman" w:eastAsia="AdvP2A67" w:cs="Times New Roman"/>
          <w:sz w:val="24"/>
          <w:szCs w:val="24"/>
        </w:rPr>
        <w:t xml:space="preserve">Demographic and clinical characteristics of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participant</w:t>
      </w:r>
      <w:r>
        <w:rPr>
          <w:rFonts w:hint="default" w:ascii="Times New Roman" w:hAnsi="Times New Roman" w:eastAsia="AdvP2A67" w:cs="Times New Roman"/>
          <w:sz w:val="24"/>
          <w:szCs w:val="24"/>
        </w:rPr>
        <w:t>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93" w:lineRule="atLeast"/>
        <w:ind w:left="0" w:right="0" w:firstLine="0"/>
        <w:rPr>
          <w:rFonts w:hint="default" w:ascii="Times New Roman" w:hAnsi="Times New Roman" w:eastAsia="宋体" w:cs="Times New Roman"/>
          <w:b w:val="0"/>
          <w:bCs w:val="0"/>
          <w:kern w:val="2"/>
          <w:sz w:val="18"/>
          <w:szCs w:val="18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kern w:val="2"/>
          <w:sz w:val="18"/>
          <w:szCs w:val="18"/>
          <w:vertAlign w:val="baseline"/>
          <w:lang w:val="en-US" w:eastAsia="zh-CN"/>
        </w:rPr>
        <w:t xml:space="preserve">ALT, alanine aminotransferase; AST, aspartate aminotransferase; HBV, hepatitis B virus; UCDs, urea cycle </w:t>
      </w:r>
      <w:bookmarkStart w:id="1" w:name="_GoBack"/>
      <w:bookmarkEnd w:id="1"/>
      <w:r>
        <w:rPr>
          <w:rFonts w:hint="default" w:ascii="Times New Roman" w:hAnsi="Times New Roman" w:eastAsia="宋体" w:cs="Times New Roman"/>
          <w:b w:val="0"/>
          <w:bCs w:val="0"/>
          <w:kern w:val="2"/>
          <w:sz w:val="18"/>
          <w:szCs w:val="18"/>
          <w:vertAlign w:val="baseline"/>
          <w:lang w:val="en-US" w:eastAsia="zh-CN"/>
        </w:rPr>
        <w:t>disorders; NASH-LC, non-alcoholic steatohepatitis-related liver cirrhosis; DDLT, deceased donor liver transplantation; LDLT, living donor liver transplantation; GRWR, graft-to-recipient weight ratio; WBC, white blood cell; RBC, red blood cell; T-B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vertAlign w:val="baseline"/>
          <w:lang w:val="en-US" w:eastAsia="zh-CN"/>
        </w:rPr>
        <w:t>IL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18"/>
          <w:szCs w:val="18"/>
          <w:vertAlign w:val="baseline"/>
          <w:lang w:val="en-US" w:eastAsia="zh-CN"/>
        </w:rPr>
        <w:t>: total bilirubin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vertAlign w:val="baseline"/>
          <w:lang w:val="en-US" w:eastAsia="zh-CN"/>
        </w:rPr>
        <w:t>;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18"/>
          <w:szCs w:val="18"/>
          <w:vertAlign w:val="baseline"/>
          <w:lang w:val="en-US" w:eastAsia="zh-CN"/>
        </w:rPr>
        <w:t xml:space="preserve"> Data are expressed as mean ± standard deviation. * the ALT and AST in rejection group were significantly higher than the other groups.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P2A67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29A885"/>
    <w:multiLevelType w:val="singleLevel"/>
    <w:tmpl w:val="AD29A885"/>
    <w:lvl w:ilvl="0" w:tentative="0">
      <w:start w:val="20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966680"/>
    <w:rsid w:val="11241D1F"/>
    <w:rsid w:val="20307ABA"/>
    <w:rsid w:val="31AA0A1E"/>
    <w:rsid w:val="41927B85"/>
    <w:rsid w:val="43642E62"/>
    <w:rsid w:val="6DFE1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WPS_1611388912</cp:lastModifiedBy>
  <dcterms:modified xsi:type="dcterms:W3CDTF">2022-04-14T08:11:20Z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326FDD8C11C14CA28CBAB680CDBA1D78</vt:lpwstr>
  </property>
</Properties>
</file>