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143A97" w14:textId="77777777" w:rsidR="006D4FF5" w:rsidRDefault="0044262A">
      <w:pPr>
        <w:pStyle w:val="ArticleTitle"/>
      </w:pPr>
      <w:bookmarkStart w:id="0" w:name="_Hlk95835125"/>
      <w:bookmarkStart w:id="1" w:name="_Hlk92194250"/>
      <w:bookmarkStart w:id="2" w:name="OLE_LINK1"/>
      <w:bookmarkEnd w:id="0"/>
      <w:bookmarkEnd w:id="1"/>
      <w:r>
        <w:t>Supplement</w:t>
      </w:r>
      <w:bookmarkEnd w:id="2"/>
      <w:r>
        <w:t xml:space="preserve">ary Information for </w:t>
      </w:r>
    </w:p>
    <w:p w14:paraId="76F50FDF" w14:textId="7A6D8B32" w:rsidR="00540DC8" w:rsidRPr="00540DC8" w:rsidRDefault="001D5C4C" w:rsidP="00540DC8">
      <w:pPr>
        <w:jc w:val="center"/>
        <w:rPr>
          <w:b/>
          <w:kern w:val="28"/>
          <w:sz w:val="28"/>
        </w:rPr>
      </w:pPr>
      <w:r w:rsidRPr="001D5C4C">
        <w:rPr>
          <w:b/>
          <w:bCs/>
          <w:kern w:val="28"/>
          <w:sz w:val="28"/>
        </w:rPr>
        <w:t>Greater extreme precipitation from Borneo Vortices in a warmer climate</w:t>
      </w:r>
    </w:p>
    <w:p w14:paraId="69BA72F0" w14:textId="77777777" w:rsidR="00595E3D" w:rsidRPr="007C43B9" w:rsidRDefault="00595E3D" w:rsidP="00595E3D">
      <w:pPr>
        <w:jc w:val="center"/>
      </w:pPr>
    </w:p>
    <w:p w14:paraId="30D84478" w14:textId="2222AF70" w:rsidR="00595E3D" w:rsidRPr="007C43B9" w:rsidRDefault="00595E3D" w:rsidP="00595E3D">
      <w:pPr>
        <w:pStyle w:val="Authors"/>
        <w:spacing w:before="120" w:after="120" w:line="480" w:lineRule="auto"/>
      </w:pPr>
      <w:r w:rsidRPr="007C43B9">
        <w:t>Ju Liang</w:t>
      </w:r>
      <w:r w:rsidRPr="004B1FBF">
        <w:rPr>
          <w:rFonts w:hint="eastAsia"/>
          <w:vertAlign w:val="superscript"/>
          <w:lang w:eastAsia="zh-CN"/>
        </w:rPr>
        <w:t>1</w:t>
      </w:r>
      <w:r>
        <w:rPr>
          <w:vertAlign w:val="superscript"/>
          <w:lang w:eastAsia="zh-CN"/>
        </w:rPr>
        <w:t>*</w:t>
      </w:r>
      <w:r w:rsidRPr="007C43B9">
        <w:t>, Jennifer L. Catto</w:t>
      </w:r>
      <w:r>
        <w:rPr>
          <w:rFonts w:hint="eastAsia"/>
          <w:vertAlign w:val="superscript"/>
          <w:lang w:eastAsia="zh-CN"/>
        </w:rPr>
        <w:t>1</w:t>
      </w:r>
      <w:r w:rsidRPr="007C43B9">
        <w:t xml:space="preserve">, Matthew </w:t>
      </w:r>
      <w:r w:rsidR="002C7B7B">
        <w:t xml:space="preserve">K. </w:t>
      </w:r>
      <w:r w:rsidRPr="007C43B9">
        <w:t>Hawcroft</w:t>
      </w:r>
      <w:r>
        <w:rPr>
          <w:rFonts w:hint="eastAsia"/>
          <w:vertAlign w:val="superscript"/>
          <w:lang w:eastAsia="zh-CN"/>
        </w:rPr>
        <w:t>2</w:t>
      </w:r>
      <w:r w:rsidRPr="000E5ADD">
        <w:rPr>
          <w:vertAlign w:val="superscript"/>
        </w:rPr>
        <w:t>,</w:t>
      </w:r>
      <w:r>
        <w:rPr>
          <w:rFonts w:hint="eastAsia"/>
          <w:vertAlign w:val="superscript"/>
          <w:lang w:eastAsia="zh-CN"/>
        </w:rPr>
        <w:t>3</w:t>
      </w:r>
      <w:r w:rsidRPr="007C43B9">
        <w:t>,</w:t>
      </w:r>
      <w:r>
        <w:t xml:space="preserve"> </w:t>
      </w:r>
      <w:proofErr w:type="spellStart"/>
      <w:r w:rsidRPr="007C43B9">
        <w:t>Mou</w:t>
      </w:r>
      <w:proofErr w:type="spellEnd"/>
      <w:r w:rsidRPr="007C43B9">
        <w:t xml:space="preserve"> Leong Tan</w:t>
      </w:r>
      <w:r>
        <w:rPr>
          <w:rFonts w:hint="eastAsia"/>
          <w:vertAlign w:val="superscript"/>
          <w:lang w:eastAsia="zh-CN"/>
        </w:rPr>
        <w:t>4</w:t>
      </w:r>
      <w:r w:rsidRPr="007C43B9">
        <w:t>, Kevin I. Hodges</w:t>
      </w:r>
      <w:r>
        <w:rPr>
          <w:rFonts w:hint="eastAsia"/>
          <w:vertAlign w:val="superscript"/>
          <w:lang w:eastAsia="zh-CN"/>
        </w:rPr>
        <w:t>5</w:t>
      </w:r>
      <w:r w:rsidRPr="007C43B9">
        <w:t>, James M. Haywood</w:t>
      </w:r>
      <w:r>
        <w:rPr>
          <w:rFonts w:hint="eastAsia"/>
          <w:vertAlign w:val="superscript"/>
          <w:lang w:eastAsia="zh-CN"/>
        </w:rPr>
        <w:t>1</w:t>
      </w:r>
      <w:r w:rsidRPr="007C43B9">
        <w:rPr>
          <w:vertAlign w:val="superscript"/>
        </w:rPr>
        <w:t>,</w:t>
      </w:r>
      <w:r>
        <w:rPr>
          <w:vertAlign w:val="superscript"/>
        </w:rPr>
        <w:t>2</w:t>
      </w:r>
      <w:r w:rsidRPr="007C43B9">
        <w:t>.</w:t>
      </w:r>
    </w:p>
    <w:p w14:paraId="73C77CEB" w14:textId="77777777" w:rsidR="00595E3D" w:rsidRDefault="00595E3D" w:rsidP="00595E3D">
      <w:pPr>
        <w:pStyle w:val="Affiliations"/>
        <w:spacing w:after="120" w:line="480" w:lineRule="auto"/>
      </w:pPr>
      <w:r>
        <w:rPr>
          <w:rFonts w:hint="eastAsia"/>
          <w:i w:val="0"/>
          <w:iCs/>
          <w:vertAlign w:val="superscript"/>
          <w:lang w:eastAsia="zh-CN"/>
        </w:rPr>
        <w:t>1</w:t>
      </w:r>
      <w:r w:rsidRPr="007C43B9">
        <w:rPr>
          <w:i w:val="0"/>
          <w:iCs/>
        </w:rPr>
        <w:t xml:space="preserve"> </w:t>
      </w:r>
      <w:bookmarkStart w:id="3" w:name="_Hlk64628740"/>
      <w:r w:rsidRPr="007C43B9">
        <w:t>College of Engineering, Mathematics and Physical Sciences, University of Exeter, Exeter</w:t>
      </w:r>
      <w:r>
        <w:t xml:space="preserve"> </w:t>
      </w:r>
      <w:r w:rsidRPr="009F702E">
        <w:t>EX4 4QE</w:t>
      </w:r>
      <w:r w:rsidRPr="007C43B9">
        <w:t>, UK</w:t>
      </w:r>
      <w:bookmarkEnd w:id="3"/>
    </w:p>
    <w:p w14:paraId="47102E98" w14:textId="77777777" w:rsidR="00595E3D" w:rsidRDefault="00595E3D" w:rsidP="00595E3D">
      <w:pPr>
        <w:pStyle w:val="Affiliations"/>
        <w:spacing w:after="120" w:line="480" w:lineRule="auto"/>
      </w:pPr>
      <w:r>
        <w:rPr>
          <w:i w:val="0"/>
          <w:iCs/>
          <w:vertAlign w:val="superscript"/>
        </w:rPr>
        <w:t>2</w:t>
      </w:r>
      <w:r w:rsidRPr="007C43B9">
        <w:rPr>
          <w:i w:val="0"/>
          <w:iCs/>
        </w:rPr>
        <w:t xml:space="preserve"> </w:t>
      </w:r>
      <w:r w:rsidRPr="007C43B9">
        <w:t>Met Office, Exeter</w:t>
      </w:r>
      <w:r>
        <w:t xml:space="preserve"> </w:t>
      </w:r>
      <w:r w:rsidRPr="009F702E">
        <w:t>EX1 3PB</w:t>
      </w:r>
      <w:r w:rsidRPr="007C43B9">
        <w:t>, United Kingdom</w:t>
      </w:r>
    </w:p>
    <w:p w14:paraId="52D8545C" w14:textId="77777777" w:rsidR="00595E3D" w:rsidRDefault="00595E3D" w:rsidP="00595E3D">
      <w:pPr>
        <w:pStyle w:val="Affiliations"/>
        <w:spacing w:after="120" w:line="480" w:lineRule="auto"/>
      </w:pPr>
      <w:r>
        <w:rPr>
          <w:i w:val="0"/>
          <w:iCs/>
          <w:vertAlign w:val="superscript"/>
          <w:lang w:eastAsia="zh-CN"/>
        </w:rPr>
        <w:t>3</w:t>
      </w:r>
      <w:r w:rsidRPr="007C43B9">
        <w:t>University of Southern Queensland, Toowoomba</w:t>
      </w:r>
      <w:r>
        <w:t xml:space="preserve"> </w:t>
      </w:r>
      <w:r w:rsidRPr="009F702E">
        <w:t>Q</w:t>
      </w:r>
      <w:r>
        <w:t>LD</w:t>
      </w:r>
      <w:r w:rsidRPr="009F702E">
        <w:t xml:space="preserve"> 4300</w:t>
      </w:r>
      <w:r w:rsidRPr="007C43B9">
        <w:t>, Australia</w:t>
      </w:r>
    </w:p>
    <w:p w14:paraId="502930C7" w14:textId="77777777" w:rsidR="00595E3D" w:rsidRPr="007C43B9" w:rsidRDefault="00595E3D" w:rsidP="00595E3D">
      <w:pPr>
        <w:pStyle w:val="Affiliations"/>
        <w:spacing w:after="120" w:line="480" w:lineRule="auto"/>
      </w:pPr>
      <w:r>
        <w:rPr>
          <w:rFonts w:hint="eastAsia"/>
          <w:i w:val="0"/>
          <w:iCs/>
          <w:vertAlign w:val="superscript"/>
          <w:lang w:eastAsia="zh-CN"/>
        </w:rPr>
        <w:t>4</w:t>
      </w:r>
      <w:r w:rsidRPr="007C43B9">
        <w:rPr>
          <w:i w:val="0"/>
          <w:iCs/>
        </w:rPr>
        <w:t xml:space="preserve"> </w:t>
      </w:r>
      <w:proofErr w:type="spellStart"/>
      <w:r w:rsidRPr="007C43B9">
        <w:t>Geo</w:t>
      </w:r>
      <w:r>
        <w:t>I</w:t>
      </w:r>
      <w:r w:rsidRPr="007C43B9">
        <w:t>nformatic</w:t>
      </w:r>
      <w:proofErr w:type="spellEnd"/>
      <w:r w:rsidRPr="007C43B9">
        <w:t xml:space="preserve"> Unit, Geography Section, School of Humanities, </w:t>
      </w:r>
      <w:proofErr w:type="spellStart"/>
      <w:r w:rsidRPr="007C43B9">
        <w:t>Universiti</w:t>
      </w:r>
      <w:proofErr w:type="spellEnd"/>
      <w:r w:rsidRPr="007C43B9">
        <w:t xml:space="preserve"> </w:t>
      </w:r>
      <w:proofErr w:type="spellStart"/>
      <w:r w:rsidRPr="007C43B9">
        <w:t>Sains</w:t>
      </w:r>
      <w:proofErr w:type="spellEnd"/>
      <w:r w:rsidRPr="007C43B9">
        <w:t xml:space="preserve"> Malaysia, </w:t>
      </w:r>
      <w:r w:rsidRPr="009F702E">
        <w:t>11800</w:t>
      </w:r>
      <w:r>
        <w:t xml:space="preserve"> USM</w:t>
      </w:r>
      <w:r w:rsidRPr="007C43B9">
        <w:t>,</w:t>
      </w:r>
      <w:r>
        <w:t xml:space="preserve"> </w:t>
      </w:r>
      <w:proofErr w:type="spellStart"/>
      <w:r>
        <w:t>Pulau</w:t>
      </w:r>
      <w:proofErr w:type="spellEnd"/>
      <w:r>
        <w:t xml:space="preserve"> Pinang,</w:t>
      </w:r>
      <w:r w:rsidRPr="007C43B9">
        <w:t xml:space="preserve"> Malaysia</w:t>
      </w:r>
    </w:p>
    <w:p w14:paraId="57411696" w14:textId="77777777" w:rsidR="00595E3D" w:rsidRPr="007C43B9" w:rsidRDefault="00595E3D" w:rsidP="00595E3D">
      <w:pPr>
        <w:pStyle w:val="Affiliations"/>
        <w:spacing w:after="120" w:line="480" w:lineRule="auto"/>
        <w:ind w:left="360"/>
        <w:jc w:val="left"/>
      </w:pPr>
      <w:r>
        <w:rPr>
          <w:rFonts w:hint="eastAsia"/>
          <w:i w:val="0"/>
          <w:iCs/>
          <w:vertAlign w:val="superscript"/>
          <w:lang w:eastAsia="zh-CN"/>
        </w:rPr>
        <w:t>5</w:t>
      </w:r>
      <w:r>
        <w:rPr>
          <w:i w:val="0"/>
          <w:iCs/>
          <w:vertAlign w:val="superscript"/>
        </w:rPr>
        <w:t xml:space="preserve"> </w:t>
      </w:r>
      <w:r w:rsidRPr="007C43B9">
        <w:t>Department of Meteorology, University of Reading, Reading</w:t>
      </w:r>
      <w:r>
        <w:t xml:space="preserve"> </w:t>
      </w:r>
      <w:r w:rsidRPr="009F702E">
        <w:t>RG6 6ET</w:t>
      </w:r>
      <w:r w:rsidRPr="007C43B9">
        <w:t>, United Kingdom</w:t>
      </w:r>
    </w:p>
    <w:p w14:paraId="770C5F97" w14:textId="77777777" w:rsidR="00595E3D" w:rsidRPr="007C43B9" w:rsidRDefault="00595E3D" w:rsidP="00595E3D"/>
    <w:p w14:paraId="30BC21A9" w14:textId="77777777" w:rsidR="00595E3D" w:rsidRPr="009F702E" w:rsidRDefault="00595E3D" w:rsidP="00595E3D">
      <w:pPr>
        <w:pStyle w:val="ParagraphText"/>
      </w:pPr>
      <w:r w:rsidRPr="00B67FB0">
        <w:rPr>
          <w:i/>
          <w:iCs/>
        </w:rPr>
        <w:t>*</w:t>
      </w:r>
      <w:r>
        <w:rPr>
          <w:i/>
          <w:iCs/>
        </w:rPr>
        <w:t xml:space="preserve"> </w:t>
      </w:r>
      <w:r w:rsidRPr="009F702E">
        <w:t>Corresponding author at: College of Engineering, Mathematics and Physical Sciences, University of Exeter, Exeter</w:t>
      </w:r>
      <w:r>
        <w:t xml:space="preserve"> </w:t>
      </w:r>
      <w:r w:rsidRPr="009F702E">
        <w:t>EX4 4QE, UK</w:t>
      </w:r>
    </w:p>
    <w:p w14:paraId="7CFCB11D" w14:textId="77777777" w:rsidR="00595E3D" w:rsidRDefault="00595E3D">
      <w:pPr>
        <w:spacing w:line="360" w:lineRule="auto"/>
        <w:ind w:firstLine="0"/>
        <w:jc w:val="center"/>
      </w:pPr>
    </w:p>
    <w:p w14:paraId="43101B9D" w14:textId="5C003C63" w:rsidR="00595E3D" w:rsidRDefault="00595E3D">
      <w:pPr>
        <w:spacing w:line="360" w:lineRule="auto"/>
        <w:ind w:firstLine="0"/>
        <w:jc w:val="center"/>
      </w:pPr>
    </w:p>
    <w:p w14:paraId="10198074" w14:textId="3D61977D" w:rsidR="00595E3D" w:rsidRDefault="00595E3D">
      <w:pPr>
        <w:spacing w:line="360" w:lineRule="auto"/>
        <w:ind w:firstLine="0"/>
        <w:jc w:val="center"/>
      </w:pPr>
    </w:p>
    <w:p w14:paraId="63FD7CD6" w14:textId="0EAB0333" w:rsidR="00595E3D" w:rsidRDefault="00595E3D">
      <w:pPr>
        <w:spacing w:line="360" w:lineRule="auto"/>
        <w:ind w:firstLine="0"/>
        <w:jc w:val="center"/>
      </w:pPr>
    </w:p>
    <w:p w14:paraId="51A66CC1" w14:textId="78A70EE9" w:rsidR="00595E3D" w:rsidRDefault="00595E3D">
      <w:pPr>
        <w:spacing w:line="360" w:lineRule="auto"/>
        <w:ind w:firstLine="0"/>
        <w:jc w:val="center"/>
      </w:pPr>
    </w:p>
    <w:p w14:paraId="3BF408F1" w14:textId="1C07C89D" w:rsidR="00595E3D" w:rsidRDefault="00595E3D">
      <w:pPr>
        <w:spacing w:line="360" w:lineRule="auto"/>
        <w:ind w:firstLine="0"/>
        <w:jc w:val="center"/>
      </w:pPr>
    </w:p>
    <w:p w14:paraId="71A7F850" w14:textId="53EE07A1" w:rsidR="00595E3D" w:rsidRDefault="00595E3D">
      <w:pPr>
        <w:spacing w:line="360" w:lineRule="auto"/>
        <w:ind w:firstLine="0"/>
        <w:jc w:val="center"/>
      </w:pPr>
    </w:p>
    <w:p w14:paraId="6DA77AFC" w14:textId="4D260B09" w:rsidR="00595E3D" w:rsidRDefault="00595E3D">
      <w:pPr>
        <w:spacing w:line="360" w:lineRule="auto"/>
        <w:ind w:firstLine="0"/>
        <w:jc w:val="center"/>
      </w:pPr>
    </w:p>
    <w:p w14:paraId="7ED6EA33" w14:textId="0C3EA54A" w:rsidR="00595E3D" w:rsidRPr="00664B64" w:rsidRDefault="00595E3D" w:rsidP="00664B64">
      <w:pPr>
        <w:pStyle w:val="ad"/>
        <w:numPr>
          <w:ilvl w:val="0"/>
          <w:numId w:val="1"/>
        </w:numPr>
        <w:spacing w:line="360" w:lineRule="auto"/>
        <w:ind w:firstLineChars="0"/>
        <w:jc w:val="both"/>
        <w:rPr>
          <w:b/>
          <w:bCs/>
        </w:rPr>
      </w:pPr>
      <w:r w:rsidRPr="00664B64">
        <w:rPr>
          <w:b/>
          <w:bCs/>
        </w:rPr>
        <w:lastRenderedPageBreak/>
        <w:t>Why a sufficiently high horizontal resolution is important</w:t>
      </w:r>
      <w:r w:rsidR="006F2C45" w:rsidRPr="00664B64">
        <w:rPr>
          <w:b/>
          <w:bCs/>
        </w:rPr>
        <w:t xml:space="preserve"> </w:t>
      </w:r>
      <w:r w:rsidRPr="00664B64">
        <w:rPr>
          <w:b/>
          <w:bCs/>
        </w:rPr>
        <w:t xml:space="preserve">for adequately simulating </w:t>
      </w:r>
      <w:r w:rsidR="001C7973" w:rsidRPr="00664B64">
        <w:rPr>
          <w:b/>
          <w:bCs/>
        </w:rPr>
        <w:t>Borneo Vortices</w:t>
      </w:r>
      <w:r w:rsidRPr="00664B64">
        <w:rPr>
          <w:b/>
          <w:bCs/>
        </w:rPr>
        <w:t>?</w:t>
      </w:r>
    </w:p>
    <w:p w14:paraId="6A2C1007" w14:textId="15240BD7" w:rsidR="001C7973" w:rsidRDefault="006F2C45" w:rsidP="006F2C45">
      <w:pPr>
        <w:spacing w:line="360" w:lineRule="auto"/>
        <w:ind w:firstLineChars="100" w:firstLine="240"/>
        <w:jc w:val="both"/>
      </w:pPr>
      <w:r w:rsidRPr="006F2C45">
        <w:t>The recent study by Liang et al.</w:t>
      </w:r>
      <w:r w:rsidR="00F77A1F" w:rsidRPr="00F77A1F">
        <w:rPr>
          <w:vertAlign w:val="superscript"/>
        </w:rPr>
        <w:fldChar w:fldCharType="begin"/>
      </w:r>
      <w:r w:rsidR="00F77A1F" w:rsidRPr="00F77A1F">
        <w:rPr>
          <w:vertAlign w:val="superscript"/>
        </w:rPr>
        <w:instrText xml:space="preserve"> REF _Ref103555709 \r \h </w:instrText>
      </w:r>
      <w:r w:rsidR="00F77A1F">
        <w:rPr>
          <w:vertAlign w:val="superscript"/>
        </w:rPr>
        <w:instrText xml:space="preserve"> \* MERGEFORMAT </w:instrText>
      </w:r>
      <w:r w:rsidR="00F77A1F" w:rsidRPr="00F77A1F">
        <w:rPr>
          <w:vertAlign w:val="superscript"/>
        </w:rPr>
      </w:r>
      <w:r w:rsidR="00F77A1F" w:rsidRPr="00F77A1F">
        <w:rPr>
          <w:vertAlign w:val="superscript"/>
        </w:rPr>
        <w:fldChar w:fldCharType="separate"/>
      </w:r>
      <w:r w:rsidR="00F77A1F" w:rsidRPr="00F77A1F">
        <w:rPr>
          <w:vertAlign w:val="superscript"/>
        </w:rPr>
        <w:t>1</w:t>
      </w:r>
      <w:r w:rsidR="00F77A1F" w:rsidRPr="00F77A1F">
        <w:rPr>
          <w:vertAlign w:val="superscript"/>
        </w:rPr>
        <w:fldChar w:fldCharType="end"/>
      </w:r>
      <w:r w:rsidRPr="006F2C45">
        <w:t xml:space="preserve"> has revealed that the simulated characteristics of Borneo Vortices (BVs), including their frequency and the associated precipitation, can be inhibited in global climate model (GCM)</w:t>
      </w:r>
      <w:r w:rsidR="00DB7A61">
        <w:t xml:space="preserve"> with low horizontal resolutions</w:t>
      </w:r>
      <w:r w:rsidRPr="006F2C45">
        <w:t xml:space="preserve">. This </w:t>
      </w:r>
      <w:r w:rsidR="00DB7A61">
        <w:t>can</w:t>
      </w:r>
      <w:r w:rsidR="00DB7A61" w:rsidRPr="006F2C45">
        <w:t xml:space="preserve"> </w:t>
      </w:r>
      <w:r w:rsidRPr="006F2C45">
        <w:t>possibly</w:t>
      </w:r>
      <w:r w:rsidR="00DB7A61">
        <w:t xml:space="preserve"> be</w:t>
      </w:r>
      <w:r w:rsidRPr="006F2C45">
        <w:t xml:space="preserve"> </w:t>
      </w:r>
      <w:r w:rsidR="003A3C43">
        <w:t>attributed</w:t>
      </w:r>
      <w:r w:rsidRPr="006F2C45">
        <w:t xml:space="preserve"> to the </w:t>
      </w:r>
      <w:r>
        <w:t>weake</w:t>
      </w:r>
      <w:r w:rsidR="00DB7A61">
        <w:t>r</w:t>
      </w:r>
      <w:r w:rsidRPr="006F2C45">
        <w:t xml:space="preserve"> synoptic-scale winds </w:t>
      </w:r>
      <w:r w:rsidR="00DB7A61">
        <w:t>through</w:t>
      </w:r>
      <w:r w:rsidR="00DB7A61" w:rsidRPr="006F2C45">
        <w:t xml:space="preserve"> </w:t>
      </w:r>
      <w:r w:rsidRPr="006F2C45">
        <w:t>the combined effect of fluid continuity</w:t>
      </w:r>
      <w:r w:rsidR="00664B64">
        <w:t xml:space="preserve"> </w:t>
      </w:r>
      <w:r w:rsidRPr="006F2C45">
        <w:t>and “emergent scaling properties of the wind field”</w:t>
      </w:r>
      <w:r w:rsidR="00F77A1F" w:rsidRPr="00F77A1F">
        <w:rPr>
          <w:vertAlign w:val="superscript"/>
        </w:rPr>
        <w:fldChar w:fldCharType="begin"/>
      </w:r>
      <w:r w:rsidR="00F77A1F" w:rsidRPr="00F77A1F">
        <w:rPr>
          <w:vertAlign w:val="superscript"/>
        </w:rPr>
        <w:instrText xml:space="preserve"> REF _Ref103555774 \r \h </w:instrText>
      </w:r>
      <w:r w:rsidR="00F77A1F">
        <w:rPr>
          <w:vertAlign w:val="superscript"/>
        </w:rPr>
        <w:instrText xml:space="preserve"> \* MERGEFORMAT </w:instrText>
      </w:r>
      <w:r w:rsidR="00F77A1F" w:rsidRPr="00F77A1F">
        <w:rPr>
          <w:vertAlign w:val="superscript"/>
        </w:rPr>
      </w:r>
      <w:r w:rsidR="00F77A1F" w:rsidRPr="00F77A1F">
        <w:rPr>
          <w:vertAlign w:val="superscript"/>
        </w:rPr>
        <w:fldChar w:fldCharType="separate"/>
      </w:r>
      <w:r w:rsidR="00F77A1F" w:rsidRPr="00F77A1F">
        <w:rPr>
          <w:vertAlign w:val="superscript"/>
        </w:rPr>
        <w:t>2</w:t>
      </w:r>
      <w:r w:rsidR="00F77A1F" w:rsidRPr="00F77A1F">
        <w:rPr>
          <w:vertAlign w:val="superscript"/>
        </w:rPr>
        <w:fldChar w:fldCharType="end"/>
      </w:r>
      <w:r w:rsidRPr="006F2C45">
        <w:t xml:space="preserve"> as grid spacing </w:t>
      </w:r>
      <w:r>
        <w:t>increases</w:t>
      </w:r>
      <w:r w:rsidRPr="006F2C45">
        <w:t>. On the other hand, the simulated largescale environments controlling BVs have no apparent sensitivit</w:t>
      </w:r>
      <w:r w:rsidR="00DB7A61">
        <w:t>y</w:t>
      </w:r>
      <w:r w:rsidRPr="006F2C45">
        <w:t xml:space="preserve"> to the changes in model resolution. Such a resolution-dependence of simulated BVs can be further confirmed by comparing the high-resolution versions</w:t>
      </w:r>
      <w:r w:rsidR="00664B64">
        <w:t xml:space="preserve"> (</w:t>
      </w:r>
      <w:r w:rsidR="00664B64" w:rsidRPr="00664B64">
        <w:t xml:space="preserve">hereafter </w:t>
      </w:r>
      <w:r w:rsidR="00664B64">
        <w:t>HR</w:t>
      </w:r>
      <w:r w:rsidR="00664B64">
        <w:rPr>
          <w:rFonts w:hint="eastAsia"/>
          <w:lang w:eastAsia="zh-CN"/>
        </w:rPr>
        <w:t>-GCMs</w:t>
      </w:r>
      <w:r w:rsidR="00664B64">
        <w:t>)</w:t>
      </w:r>
      <w:r w:rsidRPr="006F2C45">
        <w:t xml:space="preserve"> of the six </w:t>
      </w:r>
      <w:proofErr w:type="spellStart"/>
      <w:r w:rsidRPr="006F2C45">
        <w:t>HighResMIP</w:t>
      </w:r>
      <w:proofErr w:type="spellEnd"/>
      <w:r w:rsidRPr="006F2C45">
        <w:t xml:space="preserve"> GCMs (used for the future projection of BVs in this study) with their low-resolution versions</w:t>
      </w:r>
      <w:r w:rsidR="00664B64">
        <w:t xml:space="preserve"> </w:t>
      </w:r>
      <w:r w:rsidR="00664B64">
        <w:rPr>
          <w:rFonts w:hint="eastAsia"/>
          <w:lang w:eastAsia="zh-CN"/>
        </w:rPr>
        <w:t>(LR-</w:t>
      </w:r>
      <w:r w:rsidR="00664B64">
        <w:t>GCMs</w:t>
      </w:r>
      <w:r w:rsidR="00664B64">
        <w:rPr>
          <w:lang w:eastAsia="zh-CN"/>
        </w:rPr>
        <w:t>)</w:t>
      </w:r>
      <w:r w:rsidRPr="006F2C45">
        <w:t xml:space="preserve">. Information on the used GCMs is </w:t>
      </w:r>
      <w:proofErr w:type="spellStart"/>
      <w:r w:rsidRPr="006F2C45">
        <w:t>summarised</w:t>
      </w:r>
      <w:proofErr w:type="spellEnd"/>
      <w:r w:rsidRPr="006F2C45">
        <w:t xml:space="preserve"> in Table 1.</w:t>
      </w:r>
    </w:p>
    <w:p w14:paraId="05D28A75" w14:textId="7D806D92" w:rsidR="006F2C45" w:rsidRDefault="006F2C45">
      <w:pPr>
        <w:spacing w:line="360" w:lineRule="auto"/>
        <w:ind w:firstLine="0"/>
        <w:jc w:val="center"/>
      </w:pPr>
    </w:p>
    <w:p w14:paraId="173DBD40" w14:textId="77777777" w:rsidR="006F2C45" w:rsidRPr="007C43B9" w:rsidRDefault="006F2C45" w:rsidP="006F2C45">
      <w:pPr>
        <w:snapToGrid/>
        <w:spacing w:line="360" w:lineRule="auto"/>
        <w:ind w:firstLine="240"/>
        <w:jc w:val="center"/>
        <w:rPr>
          <w:rFonts w:eastAsia="Arial Unicode MS"/>
          <w:color w:val="00000A"/>
          <w:szCs w:val="24"/>
          <w:lang w:val="en-GB" w:eastAsia="zh-CN"/>
        </w:rPr>
      </w:pPr>
      <w:bookmarkStart w:id="4" w:name="_Hlk61461455"/>
      <w:r w:rsidRPr="007C43B9">
        <w:rPr>
          <w:rFonts w:eastAsia="Arial Unicode MS"/>
          <w:color w:val="00000A"/>
          <w:szCs w:val="24"/>
          <w:lang w:val="en-GB" w:eastAsia="zh-CN"/>
        </w:rPr>
        <w:t xml:space="preserve">Table </w:t>
      </w:r>
      <w:r>
        <w:rPr>
          <w:rFonts w:eastAsia="Arial Unicode MS"/>
          <w:color w:val="00000A"/>
          <w:szCs w:val="24"/>
          <w:lang w:val="en-GB" w:eastAsia="zh-CN"/>
        </w:rPr>
        <w:t>1</w:t>
      </w:r>
      <w:r w:rsidRPr="007C43B9">
        <w:rPr>
          <w:rFonts w:eastAsia="Arial Unicode MS"/>
          <w:color w:val="00000A"/>
          <w:szCs w:val="24"/>
          <w:lang w:val="en-GB" w:eastAsia="zh-CN"/>
        </w:rPr>
        <w:t xml:space="preserve">. </w:t>
      </w:r>
      <w:r>
        <w:rPr>
          <w:rFonts w:eastAsia="Arial Unicode MS"/>
          <w:color w:val="00000A"/>
          <w:szCs w:val="24"/>
          <w:lang w:val="en-GB" w:eastAsia="zh-CN"/>
        </w:rPr>
        <w:t xml:space="preserve">Summary of </w:t>
      </w:r>
      <w:r w:rsidRPr="007C43B9">
        <w:rPr>
          <w:rFonts w:eastAsia="Arial Unicode MS"/>
          <w:color w:val="00000A"/>
          <w:szCs w:val="24"/>
          <w:lang w:val="en-GB" w:eastAsia="zh-CN"/>
        </w:rPr>
        <w:t xml:space="preserve">the used CMIP6 </w:t>
      </w:r>
      <w:proofErr w:type="spellStart"/>
      <w:r w:rsidRPr="007C43B9">
        <w:rPr>
          <w:rFonts w:eastAsia="Arial Unicode MS"/>
          <w:color w:val="00000A"/>
          <w:szCs w:val="24"/>
          <w:lang w:val="en-GB" w:eastAsia="zh-CN"/>
        </w:rPr>
        <w:t>HighResMIP</w:t>
      </w:r>
      <w:proofErr w:type="spellEnd"/>
      <w:r w:rsidRPr="007C43B9">
        <w:rPr>
          <w:rFonts w:eastAsia="Arial Unicode MS"/>
          <w:color w:val="00000A"/>
          <w:szCs w:val="24"/>
          <w:lang w:val="en-GB" w:eastAsia="zh-CN"/>
        </w:rPr>
        <w:t xml:space="preserve"> experiments</w:t>
      </w:r>
      <w:r>
        <w:rPr>
          <w:rFonts w:eastAsia="Arial Unicode MS"/>
          <w:color w:val="00000A"/>
          <w:szCs w:val="24"/>
          <w:lang w:val="en-GB" w:eastAsia="zh-CN"/>
        </w:rPr>
        <w:t xml:space="preserve"> in this study</w:t>
      </w:r>
      <w:r w:rsidRPr="007C43B9">
        <w:rPr>
          <w:rFonts w:eastAsia="Arial Unicode MS"/>
          <w:color w:val="00000A"/>
          <w:szCs w:val="24"/>
          <w:lang w:val="en-GB" w:eastAsia="zh-CN"/>
        </w:rPr>
        <w:t>.</w:t>
      </w:r>
    </w:p>
    <w:tbl>
      <w:tblPr>
        <w:tblStyle w:val="2"/>
        <w:tblW w:w="8676" w:type="dxa"/>
        <w:tblBorders>
          <w:top w:val="single" w:sz="18" w:space="0" w:color="auto"/>
          <w:bottom w:val="single" w:sz="18" w:space="0" w:color="auto"/>
        </w:tblBorders>
        <w:tblLook w:val="04A0" w:firstRow="1" w:lastRow="0" w:firstColumn="1" w:lastColumn="0" w:noHBand="0" w:noVBand="1"/>
      </w:tblPr>
      <w:tblGrid>
        <w:gridCol w:w="1985"/>
        <w:gridCol w:w="1701"/>
        <w:gridCol w:w="1276"/>
        <w:gridCol w:w="2268"/>
        <w:gridCol w:w="1446"/>
      </w:tblGrid>
      <w:tr w:rsidR="00221658" w:rsidRPr="007C43B9" w14:paraId="7C6DF247" w14:textId="77777777" w:rsidTr="00221658">
        <w:trPr>
          <w:trHeight w:val="575"/>
        </w:trPr>
        <w:tc>
          <w:tcPr>
            <w:tcW w:w="1985" w:type="dxa"/>
            <w:tcBorders>
              <w:top w:val="single" w:sz="18" w:space="0" w:color="auto"/>
              <w:left w:val="nil"/>
              <w:bottom w:val="single" w:sz="4" w:space="0" w:color="auto"/>
              <w:right w:val="nil"/>
            </w:tcBorders>
            <w:vAlign w:val="center"/>
          </w:tcPr>
          <w:bookmarkEnd w:id="4"/>
          <w:p w14:paraId="184E5799" w14:textId="6F05B119" w:rsidR="00664B64" w:rsidRPr="007C43B9" w:rsidRDefault="00664B64" w:rsidP="00664B64">
            <w:pPr>
              <w:snapToGrid/>
              <w:spacing w:before="0" w:after="0" w:line="240" w:lineRule="auto"/>
              <w:ind w:firstLine="0"/>
              <w:jc w:val="center"/>
              <w:rPr>
                <w:rFonts w:eastAsia="Times New Roman"/>
                <w:color w:val="00000A"/>
                <w:sz w:val="18"/>
                <w:szCs w:val="18"/>
                <w:lang w:val="en-GB" w:eastAsia="en-GB"/>
              </w:rPr>
            </w:pPr>
            <w:r>
              <w:rPr>
                <w:rFonts w:eastAsia="Times New Roman"/>
                <w:color w:val="00000A"/>
                <w:sz w:val="18"/>
                <w:szCs w:val="18"/>
                <w:lang w:val="en-GB" w:eastAsia="en-GB"/>
              </w:rPr>
              <w:t>Developers</w:t>
            </w:r>
          </w:p>
        </w:tc>
        <w:tc>
          <w:tcPr>
            <w:tcW w:w="1701" w:type="dxa"/>
            <w:tcBorders>
              <w:top w:val="single" w:sz="18" w:space="0" w:color="auto"/>
              <w:left w:val="nil"/>
              <w:bottom w:val="single" w:sz="4" w:space="0" w:color="auto"/>
              <w:right w:val="nil"/>
            </w:tcBorders>
            <w:vAlign w:val="center"/>
          </w:tcPr>
          <w:p w14:paraId="10834D5F" w14:textId="26FDF9AE" w:rsidR="00664B64" w:rsidRPr="007C43B9" w:rsidRDefault="00664B64" w:rsidP="00664B64">
            <w:pPr>
              <w:snapToGrid/>
              <w:spacing w:before="0" w:after="0" w:line="240" w:lineRule="auto"/>
              <w:ind w:firstLine="0"/>
              <w:jc w:val="center"/>
              <w:rPr>
                <w:rFonts w:eastAsia="Times New Roman"/>
                <w:color w:val="00000A"/>
                <w:sz w:val="18"/>
                <w:szCs w:val="18"/>
                <w:lang w:val="en-GB" w:eastAsia="en-GB"/>
              </w:rPr>
            </w:pPr>
            <w:r w:rsidRPr="007C43B9">
              <w:rPr>
                <w:rFonts w:eastAsia="Times New Roman"/>
                <w:color w:val="00000A"/>
                <w:sz w:val="18"/>
                <w:szCs w:val="18"/>
                <w:lang w:val="en-GB" w:eastAsia="en-GB"/>
              </w:rPr>
              <w:t>Model Name</w:t>
            </w:r>
          </w:p>
        </w:tc>
        <w:tc>
          <w:tcPr>
            <w:tcW w:w="1276" w:type="dxa"/>
            <w:tcBorders>
              <w:top w:val="single" w:sz="18" w:space="0" w:color="auto"/>
              <w:left w:val="nil"/>
              <w:bottom w:val="single" w:sz="8" w:space="0" w:color="auto"/>
              <w:right w:val="nil"/>
            </w:tcBorders>
            <w:vAlign w:val="center"/>
          </w:tcPr>
          <w:p w14:paraId="49C9C61F" w14:textId="129AA4F7" w:rsidR="00664B64" w:rsidRPr="007C43B9" w:rsidRDefault="00664B64" w:rsidP="00664B64">
            <w:pPr>
              <w:snapToGrid/>
              <w:spacing w:before="0" w:after="0" w:line="240" w:lineRule="auto"/>
              <w:ind w:firstLine="0"/>
              <w:jc w:val="center"/>
              <w:rPr>
                <w:rFonts w:eastAsia="Times New Roman"/>
                <w:color w:val="00000A"/>
                <w:sz w:val="18"/>
                <w:szCs w:val="18"/>
                <w:lang w:val="en-GB" w:eastAsia="en-GB"/>
              </w:rPr>
            </w:pPr>
            <w:r>
              <w:rPr>
                <w:rFonts w:eastAsia="等线"/>
                <w:color w:val="00000A"/>
                <w:sz w:val="18"/>
                <w:szCs w:val="18"/>
                <w:lang w:val="en-GB" w:eastAsia="zh-CN"/>
              </w:rPr>
              <w:t>Version</w:t>
            </w:r>
          </w:p>
        </w:tc>
        <w:tc>
          <w:tcPr>
            <w:tcW w:w="2268" w:type="dxa"/>
            <w:tcBorders>
              <w:top w:val="single" w:sz="18" w:space="0" w:color="auto"/>
              <w:left w:val="nil"/>
              <w:bottom w:val="single" w:sz="8" w:space="0" w:color="auto"/>
              <w:right w:val="nil"/>
            </w:tcBorders>
            <w:vAlign w:val="center"/>
          </w:tcPr>
          <w:p w14:paraId="183BDF40" w14:textId="722D2AA4" w:rsidR="00664B64" w:rsidRPr="007C43B9" w:rsidRDefault="00664B64" w:rsidP="00664B64">
            <w:pPr>
              <w:snapToGrid/>
              <w:spacing w:before="0" w:after="0" w:line="240" w:lineRule="auto"/>
              <w:ind w:firstLine="0"/>
              <w:jc w:val="center"/>
              <w:rPr>
                <w:rFonts w:eastAsia="Times New Roman"/>
                <w:color w:val="00000A"/>
                <w:sz w:val="18"/>
                <w:szCs w:val="18"/>
                <w:lang w:val="en-GB" w:eastAsia="en-GB"/>
              </w:rPr>
            </w:pPr>
            <w:r w:rsidRPr="007C43B9">
              <w:rPr>
                <w:rFonts w:eastAsia="Times New Roman"/>
                <w:color w:val="00000A"/>
                <w:sz w:val="18"/>
                <w:szCs w:val="18"/>
                <w:lang w:val="en-GB" w:eastAsia="en-GB"/>
              </w:rPr>
              <w:t>Horizontal Resolution (</w:t>
            </w:r>
            <w:proofErr w:type="spellStart"/>
            <w:r w:rsidRPr="007C43B9">
              <w:rPr>
                <w:rFonts w:eastAsia="Times New Roman"/>
                <w:color w:val="00000A"/>
                <w:sz w:val="18"/>
                <w:szCs w:val="18"/>
                <w:lang w:val="en-GB" w:eastAsia="en-GB"/>
              </w:rPr>
              <w:t>Longitude×Latitude</w:t>
            </w:r>
            <w:proofErr w:type="spellEnd"/>
            <w:r w:rsidRPr="007C43B9">
              <w:rPr>
                <w:rFonts w:eastAsia="Times New Roman"/>
                <w:color w:val="00000A"/>
                <w:sz w:val="18"/>
                <w:szCs w:val="18"/>
                <w:lang w:val="en-GB" w:eastAsia="en-GB"/>
              </w:rPr>
              <w:t>)</w:t>
            </w:r>
          </w:p>
        </w:tc>
        <w:tc>
          <w:tcPr>
            <w:tcW w:w="1446" w:type="dxa"/>
            <w:tcBorders>
              <w:top w:val="single" w:sz="18" w:space="0" w:color="auto"/>
              <w:left w:val="nil"/>
              <w:bottom w:val="single" w:sz="8" w:space="0" w:color="auto"/>
              <w:right w:val="nil"/>
            </w:tcBorders>
            <w:vAlign w:val="center"/>
          </w:tcPr>
          <w:p w14:paraId="4BF05465" w14:textId="77777777" w:rsidR="00664B64" w:rsidRPr="007C43B9" w:rsidRDefault="00664B64" w:rsidP="00664B64">
            <w:pPr>
              <w:snapToGrid/>
              <w:spacing w:before="0" w:after="0" w:line="240" w:lineRule="auto"/>
              <w:ind w:firstLine="0"/>
              <w:jc w:val="center"/>
              <w:rPr>
                <w:rFonts w:eastAsia="Times New Roman"/>
                <w:color w:val="00000A"/>
                <w:sz w:val="18"/>
                <w:szCs w:val="18"/>
                <w:lang w:val="en-GB" w:eastAsia="en-GB"/>
              </w:rPr>
            </w:pPr>
            <w:r w:rsidRPr="007C43B9">
              <w:rPr>
                <w:rFonts w:eastAsia="Times New Roman"/>
                <w:color w:val="00000A"/>
                <w:sz w:val="18"/>
                <w:szCs w:val="18"/>
                <w:lang w:val="en-GB" w:eastAsia="en-GB"/>
              </w:rPr>
              <w:t>Atmospheric Vertical Levels</w:t>
            </w:r>
          </w:p>
        </w:tc>
      </w:tr>
      <w:tr w:rsidR="00221658" w:rsidRPr="007C43B9" w14:paraId="3A7DA26B" w14:textId="77777777" w:rsidTr="00221658">
        <w:trPr>
          <w:trHeight w:val="233"/>
        </w:trPr>
        <w:tc>
          <w:tcPr>
            <w:tcW w:w="1985" w:type="dxa"/>
            <w:vMerge w:val="restart"/>
            <w:tcBorders>
              <w:top w:val="single" w:sz="4" w:space="0" w:color="auto"/>
              <w:left w:val="nil"/>
              <w:bottom w:val="single" w:sz="4" w:space="0" w:color="auto"/>
              <w:right w:val="nil"/>
            </w:tcBorders>
            <w:vAlign w:val="center"/>
          </w:tcPr>
          <w:p w14:paraId="5DE1C4DF"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The UK Met Office Hadley Centre for Climate Change</w:t>
            </w:r>
          </w:p>
        </w:tc>
        <w:tc>
          <w:tcPr>
            <w:tcW w:w="1701" w:type="dxa"/>
            <w:vMerge w:val="restart"/>
            <w:tcBorders>
              <w:top w:val="single" w:sz="4" w:space="0" w:color="auto"/>
              <w:left w:val="nil"/>
              <w:bottom w:val="single" w:sz="4" w:space="0" w:color="auto"/>
              <w:right w:val="nil"/>
            </w:tcBorders>
            <w:shd w:val="clear" w:color="auto" w:fill="auto"/>
            <w:vAlign w:val="center"/>
          </w:tcPr>
          <w:p w14:paraId="394A8D28" w14:textId="774CFEDD"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HadGEM3-GC3</w:t>
            </w:r>
            <w:r>
              <w:rPr>
                <w:rFonts w:eastAsia="Times New Roman"/>
                <w:color w:val="00000A"/>
                <w:sz w:val="15"/>
                <w:szCs w:val="15"/>
                <w:lang w:val="en-GB" w:eastAsia="en-GB"/>
              </w:rPr>
              <w:t>.</w:t>
            </w:r>
            <w:r w:rsidRPr="007C43B9">
              <w:rPr>
                <w:rFonts w:eastAsia="Times New Roman"/>
                <w:color w:val="00000A"/>
                <w:sz w:val="15"/>
                <w:szCs w:val="15"/>
                <w:lang w:val="en-GB" w:eastAsia="en-GB"/>
              </w:rPr>
              <w:t>1</w:t>
            </w:r>
            <w:r w:rsidR="00092753" w:rsidRPr="00092753">
              <w:rPr>
                <w:rFonts w:eastAsia="Times New Roman"/>
                <w:color w:val="00000A"/>
                <w:sz w:val="15"/>
                <w:szCs w:val="15"/>
                <w:vertAlign w:val="superscript"/>
                <w:lang w:val="en-GB" w:eastAsia="en-GB"/>
              </w:rPr>
              <w:fldChar w:fldCharType="begin"/>
            </w:r>
            <w:r w:rsidR="00092753" w:rsidRPr="00092753">
              <w:rPr>
                <w:rFonts w:eastAsia="Times New Roman"/>
                <w:color w:val="00000A"/>
                <w:sz w:val="15"/>
                <w:szCs w:val="15"/>
                <w:vertAlign w:val="superscript"/>
                <w:lang w:val="en-GB" w:eastAsia="en-GB"/>
              </w:rPr>
              <w:instrText xml:space="preserve"> REF _Ref103555940 \r \h </w:instrText>
            </w:r>
            <w:r w:rsidR="00092753">
              <w:rPr>
                <w:rFonts w:eastAsia="Times New Roman"/>
                <w:color w:val="00000A"/>
                <w:sz w:val="15"/>
                <w:szCs w:val="15"/>
                <w:vertAlign w:val="superscript"/>
                <w:lang w:val="en-GB" w:eastAsia="en-GB"/>
              </w:rPr>
              <w:instrText xml:space="preserve"> \* MERGEFORMAT </w:instrText>
            </w:r>
            <w:r w:rsidR="00092753" w:rsidRPr="00092753">
              <w:rPr>
                <w:rFonts w:eastAsia="Times New Roman"/>
                <w:color w:val="00000A"/>
                <w:sz w:val="15"/>
                <w:szCs w:val="15"/>
                <w:vertAlign w:val="superscript"/>
                <w:lang w:val="en-GB" w:eastAsia="en-GB"/>
              </w:rPr>
            </w:r>
            <w:r w:rsidR="00092753" w:rsidRPr="00092753">
              <w:rPr>
                <w:rFonts w:eastAsia="Times New Roman"/>
                <w:color w:val="00000A"/>
                <w:sz w:val="15"/>
                <w:szCs w:val="15"/>
                <w:vertAlign w:val="superscript"/>
                <w:lang w:val="en-GB" w:eastAsia="en-GB"/>
              </w:rPr>
              <w:fldChar w:fldCharType="separate"/>
            </w:r>
            <w:r w:rsidR="00092753" w:rsidRPr="00092753">
              <w:rPr>
                <w:rFonts w:eastAsia="Times New Roman"/>
                <w:color w:val="00000A"/>
                <w:sz w:val="15"/>
                <w:szCs w:val="15"/>
                <w:vertAlign w:val="superscript"/>
                <w:lang w:val="en-GB" w:eastAsia="en-GB"/>
              </w:rPr>
              <w:t>3</w:t>
            </w:r>
            <w:r w:rsidR="00092753" w:rsidRPr="00092753">
              <w:rPr>
                <w:rFonts w:eastAsia="Times New Roman"/>
                <w:color w:val="00000A"/>
                <w:sz w:val="15"/>
                <w:szCs w:val="15"/>
                <w:vertAlign w:val="superscript"/>
                <w:lang w:val="en-GB" w:eastAsia="en-GB"/>
              </w:rPr>
              <w:fldChar w:fldCharType="end"/>
            </w:r>
          </w:p>
        </w:tc>
        <w:tc>
          <w:tcPr>
            <w:tcW w:w="1276" w:type="dxa"/>
            <w:tcBorders>
              <w:top w:val="single" w:sz="8" w:space="0" w:color="auto"/>
              <w:left w:val="nil"/>
              <w:bottom w:val="nil"/>
              <w:right w:val="nil"/>
            </w:tcBorders>
            <w:vAlign w:val="center"/>
          </w:tcPr>
          <w:p w14:paraId="28E35B80" w14:textId="51B7436A"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8" w:space="0" w:color="auto"/>
              <w:left w:val="nil"/>
              <w:bottom w:val="nil"/>
              <w:right w:val="nil"/>
            </w:tcBorders>
            <w:shd w:val="clear" w:color="auto" w:fill="auto"/>
            <w:vAlign w:val="center"/>
          </w:tcPr>
          <w:p w14:paraId="7C1611D1" w14:textId="5CC26681"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1.875°×1.25°</w:t>
            </w:r>
          </w:p>
        </w:tc>
        <w:tc>
          <w:tcPr>
            <w:tcW w:w="1446" w:type="dxa"/>
            <w:vMerge w:val="restart"/>
            <w:tcBorders>
              <w:top w:val="single" w:sz="8" w:space="0" w:color="auto"/>
              <w:left w:val="nil"/>
              <w:bottom w:val="single" w:sz="4" w:space="0" w:color="auto"/>
              <w:right w:val="nil"/>
            </w:tcBorders>
            <w:vAlign w:val="center"/>
          </w:tcPr>
          <w:p w14:paraId="75B67A68"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85</w:t>
            </w:r>
          </w:p>
        </w:tc>
      </w:tr>
      <w:tr w:rsidR="003410C8" w:rsidRPr="007C43B9" w14:paraId="0C8FB52A" w14:textId="77777777" w:rsidTr="00221658">
        <w:trPr>
          <w:trHeight w:val="332"/>
        </w:trPr>
        <w:tc>
          <w:tcPr>
            <w:tcW w:w="1985" w:type="dxa"/>
            <w:vMerge/>
            <w:tcBorders>
              <w:top w:val="nil"/>
              <w:left w:val="nil"/>
              <w:bottom w:val="single" w:sz="4" w:space="0" w:color="auto"/>
              <w:right w:val="nil"/>
            </w:tcBorders>
            <w:vAlign w:val="center"/>
          </w:tcPr>
          <w:p w14:paraId="4682258B"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701" w:type="dxa"/>
            <w:vMerge/>
            <w:tcBorders>
              <w:top w:val="nil"/>
              <w:left w:val="nil"/>
              <w:bottom w:val="single" w:sz="4" w:space="0" w:color="auto"/>
              <w:right w:val="nil"/>
            </w:tcBorders>
            <w:shd w:val="clear" w:color="auto" w:fill="auto"/>
            <w:vAlign w:val="center"/>
          </w:tcPr>
          <w:p w14:paraId="09E72050" w14:textId="0D32C0D8"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4" w:space="0" w:color="auto"/>
              <w:right w:val="nil"/>
            </w:tcBorders>
            <w:vAlign w:val="center"/>
          </w:tcPr>
          <w:p w14:paraId="0D681B45" w14:textId="7EA20F5F"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4" w:space="0" w:color="auto"/>
              <w:right w:val="nil"/>
            </w:tcBorders>
            <w:shd w:val="clear" w:color="auto" w:fill="auto"/>
            <w:vAlign w:val="center"/>
          </w:tcPr>
          <w:p w14:paraId="02CF61B3" w14:textId="353A01E9"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0.35°×0.23°</w:t>
            </w:r>
          </w:p>
        </w:tc>
        <w:tc>
          <w:tcPr>
            <w:tcW w:w="1446" w:type="dxa"/>
            <w:vMerge/>
            <w:tcBorders>
              <w:top w:val="single" w:sz="4" w:space="0" w:color="auto"/>
              <w:left w:val="nil"/>
              <w:bottom w:val="single" w:sz="4" w:space="0" w:color="auto"/>
              <w:right w:val="nil"/>
            </w:tcBorders>
            <w:vAlign w:val="center"/>
          </w:tcPr>
          <w:p w14:paraId="68E3D230"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r>
      <w:tr w:rsidR="00221658" w:rsidRPr="007C43B9" w14:paraId="35BC8145" w14:textId="77777777" w:rsidTr="00221658">
        <w:tc>
          <w:tcPr>
            <w:tcW w:w="1985" w:type="dxa"/>
            <w:vMerge w:val="restart"/>
            <w:tcBorders>
              <w:top w:val="single" w:sz="4" w:space="0" w:color="auto"/>
              <w:left w:val="nil"/>
              <w:bottom w:val="single" w:sz="4" w:space="0" w:color="auto"/>
              <w:right w:val="nil"/>
            </w:tcBorders>
            <w:vAlign w:val="center"/>
          </w:tcPr>
          <w:p w14:paraId="350D81D3"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French National Centre for Meteorological Research</w:t>
            </w:r>
          </w:p>
        </w:tc>
        <w:tc>
          <w:tcPr>
            <w:tcW w:w="1701" w:type="dxa"/>
            <w:vMerge w:val="restart"/>
            <w:tcBorders>
              <w:top w:val="single" w:sz="4" w:space="0" w:color="auto"/>
              <w:left w:val="nil"/>
              <w:bottom w:val="single" w:sz="4" w:space="0" w:color="auto"/>
              <w:right w:val="nil"/>
            </w:tcBorders>
            <w:shd w:val="clear" w:color="auto" w:fill="auto"/>
            <w:vAlign w:val="center"/>
          </w:tcPr>
          <w:p w14:paraId="623A4B4D" w14:textId="0F69A6E9"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CNRM-CM6-1</w:t>
            </w:r>
            <w:r w:rsidR="00EA02BD" w:rsidRPr="00EA02BD">
              <w:rPr>
                <w:rFonts w:eastAsia="Times New Roman"/>
                <w:color w:val="00000A"/>
                <w:sz w:val="15"/>
                <w:szCs w:val="15"/>
                <w:vertAlign w:val="superscript"/>
                <w:lang w:val="en-GB" w:eastAsia="en-GB"/>
              </w:rPr>
              <w:fldChar w:fldCharType="begin"/>
            </w:r>
            <w:r w:rsidR="00EA02BD" w:rsidRPr="00EA02BD">
              <w:rPr>
                <w:rFonts w:eastAsia="Times New Roman"/>
                <w:color w:val="00000A"/>
                <w:sz w:val="15"/>
                <w:szCs w:val="15"/>
                <w:vertAlign w:val="superscript"/>
                <w:lang w:val="en-GB" w:eastAsia="en-GB"/>
              </w:rPr>
              <w:instrText xml:space="preserve"> REF _Ref103556916 \r \h </w:instrText>
            </w:r>
            <w:r w:rsidR="00EA02BD">
              <w:rPr>
                <w:rFonts w:eastAsia="Times New Roman"/>
                <w:color w:val="00000A"/>
                <w:sz w:val="15"/>
                <w:szCs w:val="15"/>
                <w:vertAlign w:val="superscript"/>
                <w:lang w:val="en-GB" w:eastAsia="en-GB"/>
              </w:rPr>
              <w:instrText xml:space="preserve"> \* MERGEFORMAT </w:instrText>
            </w:r>
            <w:r w:rsidR="00EA02BD" w:rsidRPr="00EA02BD">
              <w:rPr>
                <w:rFonts w:eastAsia="Times New Roman"/>
                <w:color w:val="00000A"/>
                <w:sz w:val="15"/>
                <w:szCs w:val="15"/>
                <w:vertAlign w:val="superscript"/>
                <w:lang w:val="en-GB" w:eastAsia="en-GB"/>
              </w:rPr>
            </w:r>
            <w:r w:rsidR="00EA02BD" w:rsidRPr="00EA02BD">
              <w:rPr>
                <w:rFonts w:eastAsia="Times New Roman"/>
                <w:color w:val="00000A"/>
                <w:sz w:val="15"/>
                <w:szCs w:val="15"/>
                <w:vertAlign w:val="superscript"/>
                <w:lang w:val="en-GB" w:eastAsia="en-GB"/>
              </w:rPr>
              <w:fldChar w:fldCharType="separate"/>
            </w:r>
            <w:r w:rsidR="00EA02BD" w:rsidRPr="00EA02BD">
              <w:rPr>
                <w:rFonts w:eastAsia="Times New Roman"/>
                <w:color w:val="00000A"/>
                <w:sz w:val="15"/>
                <w:szCs w:val="15"/>
                <w:vertAlign w:val="superscript"/>
                <w:lang w:val="en-GB" w:eastAsia="en-GB"/>
              </w:rPr>
              <w:t>4</w:t>
            </w:r>
            <w:r w:rsidR="00EA02BD" w:rsidRPr="00EA02BD">
              <w:rPr>
                <w:rFonts w:eastAsia="Times New Roman"/>
                <w:color w:val="00000A"/>
                <w:sz w:val="15"/>
                <w:szCs w:val="15"/>
                <w:vertAlign w:val="superscript"/>
                <w:lang w:val="en-GB" w:eastAsia="en-GB"/>
              </w:rPr>
              <w:fldChar w:fldCharType="end"/>
            </w:r>
          </w:p>
        </w:tc>
        <w:tc>
          <w:tcPr>
            <w:tcW w:w="1276" w:type="dxa"/>
            <w:tcBorders>
              <w:top w:val="single" w:sz="4" w:space="0" w:color="auto"/>
              <w:left w:val="nil"/>
              <w:bottom w:val="nil"/>
              <w:right w:val="nil"/>
            </w:tcBorders>
            <w:vAlign w:val="center"/>
          </w:tcPr>
          <w:p w14:paraId="63FF0E4E" w14:textId="2A34B5DC"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4" w:space="0" w:color="auto"/>
              <w:left w:val="nil"/>
              <w:bottom w:val="nil"/>
              <w:right w:val="nil"/>
            </w:tcBorders>
            <w:shd w:val="clear" w:color="auto" w:fill="auto"/>
            <w:vAlign w:val="center"/>
          </w:tcPr>
          <w:p w14:paraId="7167A608" w14:textId="6DEACE73"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1.406°×1.406°</w:t>
            </w:r>
          </w:p>
        </w:tc>
        <w:tc>
          <w:tcPr>
            <w:tcW w:w="1446" w:type="dxa"/>
            <w:vMerge w:val="restart"/>
            <w:tcBorders>
              <w:top w:val="single" w:sz="4" w:space="0" w:color="auto"/>
              <w:left w:val="nil"/>
              <w:bottom w:val="single" w:sz="4" w:space="0" w:color="auto"/>
              <w:right w:val="nil"/>
            </w:tcBorders>
            <w:vAlign w:val="center"/>
          </w:tcPr>
          <w:p w14:paraId="305971AD"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91</w:t>
            </w:r>
          </w:p>
        </w:tc>
      </w:tr>
      <w:tr w:rsidR="00221658" w:rsidRPr="007C43B9" w14:paraId="634E3A0B" w14:textId="77777777" w:rsidTr="00221658">
        <w:tc>
          <w:tcPr>
            <w:tcW w:w="1985" w:type="dxa"/>
            <w:vMerge/>
            <w:tcBorders>
              <w:top w:val="nil"/>
              <w:left w:val="nil"/>
              <w:bottom w:val="single" w:sz="4" w:space="0" w:color="auto"/>
              <w:right w:val="nil"/>
            </w:tcBorders>
            <w:vAlign w:val="center"/>
          </w:tcPr>
          <w:p w14:paraId="7C680C91"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701" w:type="dxa"/>
            <w:vMerge/>
            <w:tcBorders>
              <w:top w:val="nil"/>
              <w:left w:val="nil"/>
              <w:bottom w:val="single" w:sz="4" w:space="0" w:color="auto"/>
              <w:right w:val="nil"/>
            </w:tcBorders>
            <w:shd w:val="clear" w:color="auto" w:fill="auto"/>
            <w:vAlign w:val="center"/>
          </w:tcPr>
          <w:p w14:paraId="3EB70712" w14:textId="7C02468A"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4" w:space="0" w:color="auto"/>
              <w:right w:val="nil"/>
            </w:tcBorders>
            <w:vAlign w:val="center"/>
          </w:tcPr>
          <w:p w14:paraId="5F30750C" w14:textId="4331869F"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4" w:space="0" w:color="auto"/>
              <w:right w:val="nil"/>
            </w:tcBorders>
            <w:shd w:val="clear" w:color="auto" w:fill="auto"/>
            <w:vAlign w:val="center"/>
          </w:tcPr>
          <w:p w14:paraId="0E9702B4" w14:textId="4AD4C258"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0.5°×0.5°</w:t>
            </w:r>
          </w:p>
        </w:tc>
        <w:tc>
          <w:tcPr>
            <w:tcW w:w="1446" w:type="dxa"/>
            <w:vMerge/>
            <w:tcBorders>
              <w:top w:val="single" w:sz="4" w:space="0" w:color="auto"/>
              <w:left w:val="nil"/>
              <w:bottom w:val="single" w:sz="4" w:space="0" w:color="auto"/>
              <w:right w:val="nil"/>
            </w:tcBorders>
            <w:vAlign w:val="center"/>
          </w:tcPr>
          <w:p w14:paraId="524F599A"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r>
      <w:tr w:rsidR="00221658" w:rsidRPr="007C43B9" w14:paraId="63637F34" w14:textId="77777777" w:rsidTr="00221658">
        <w:tc>
          <w:tcPr>
            <w:tcW w:w="1985" w:type="dxa"/>
            <w:vMerge w:val="restart"/>
            <w:tcBorders>
              <w:top w:val="single" w:sz="4" w:space="0" w:color="auto"/>
              <w:left w:val="nil"/>
              <w:bottom w:val="single" w:sz="4" w:space="0" w:color="auto"/>
              <w:right w:val="nil"/>
            </w:tcBorders>
            <w:vAlign w:val="center"/>
          </w:tcPr>
          <w:p w14:paraId="1A9BD5F6" w14:textId="38B9F13E"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fr-FR" w:eastAsia="en-GB"/>
              </w:rPr>
              <w:t xml:space="preserve">27 institutes in Europe </w:t>
            </w:r>
          </w:p>
        </w:tc>
        <w:tc>
          <w:tcPr>
            <w:tcW w:w="1701" w:type="dxa"/>
            <w:vMerge w:val="restart"/>
            <w:tcBorders>
              <w:top w:val="single" w:sz="4" w:space="0" w:color="auto"/>
              <w:left w:val="nil"/>
              <w:bottom w:val="single" w:sz="4" w:space="0" w:color="auto"/>
              <w:right w:val="nil"/>
            </w:tcBorders>
            <w:shd w:val="clear" w:color="auto" w:fill="auto"/>
            <w:vAlign w:val="center"/>
          </w:tcPr>
          <w:p w14:paraId="676C027A" w14:textId="113DC5FA"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EC-Earth3P</w:t>
            </w:r>
            <w:r w:rsidR="00EA02BD" w:rsidRPr="00EA02BD">
              <w:rPr>
                <w:rFonts w:eastAsia="Times New Roman"/>
                <w:color w:val="00000A"/>
                <w:sz w:val="15"/>
                <w:szCs w:val="15"/>
                <w:vertAlign w:val="superscript"/>
                <w:lang w:val="en-GB" w:eastAsia="en-GB"/>
              </w:rPr>
              <w:fldChar w:fldCharType="begin"/>
            </w:r>
            <w:r w:rsidR="00EA02BD" w:rsidRPr="00EA02BD">
              <w:rPr>
                <w:rFonts w:eastAsia="Times New Roman"/>
                <w:color w:val="00000A"/>
                <w:sz w:val="15"/>
                <w:szCs w:val="15"/>
                <w:vertAlign w:val="superscript"/>
                <w:lang w:val="en-GB" w:eastAsia="en-GB"/>
              </w:rPr>
              <w:instrText xml:space="preserve"> REF _Ref103556924 \r \h </w:instrText>
            </w:r>
            <w:r w:rsidR="00EA02BD">
              <w:rPr>
                <w:rFonts w:eastAsia="Times New Roman"/>
                <w:color w:val="00000A"/>
                <w:sz w:val="15"/>
                <w:szCs w:val="15"/>
                <w:vertAlign w:val="superscript"/>
                <w:lang w:val="en-GB" w:eastAsia="en-GB"/>
              </w:rPr>
              <w:instrText xml:space="preserve"> \* MERGEFORMAT </w:instrText>
            </w:r>
            <w:r w:rsidR="00EA02BD" w:rsidRPr="00EA02BD">
              <w:rPr>
                <w:rFonts w:eastAsia="Times New Roman"/>
                <w:color w:val="00000A"/>
                <w:sz w:val="15"/>
                <w:szCs w:val="15"/>
                <w:vertAlign w:val="superscript"/>
                <w:lang w:val="en-GB" w:eastAsia="en-GB"/>
              </w:rPr>
            </w:r>
            <w:r w:rsidR="00EA02BD" w:rsidRPr="00EA02BD">
              <w:rPr>
                <w:rFonts w:eastAsia="Times New Roman"/>
                <w:color w:val="00000A"/>
                <w:sz w:val="15"/>
                <w:szCs w:val="15"/>
                <w:vertAlign w:val="superscript"/>
                <w:lang w:val="en-GB" w:eastAsia="en-GB"/>
              </w:rPr>
              <w:fldChar w:fldCharType="separate"/>
            </w:r>
            <w:r w:rsidR="00EA02BD" w:rsidRPr="00EA02BD">
              <w:rPr>
                <w:rFonts w:eastAsia="Times New Roman"/>
                <w:color w:val="00000A"/>
                <w:sz w:val="15"/>
                <w:szCs w:val="15"/>
                <w:vertAlign w:val="superscript"/>
                <w:lang w:val="en-GB" w:eastAsia="en-GB"/>
              </w:rPr>
              <w:t>5</w:t>
            </w:r>
            <w:r w:rsidR="00EA02BD" w:rsidRPr="00EA02BD">
              <w:rPr>
                <w:rFonts w:eastAsia="Times New Roman"/>
                <w:color w:val="00000A"/>
                <w:sz w:val="15"/>
                <w:szCs w:val="15"/>
                <w:vertAlign w:val="superscript"/>
                <w:lang w:val="en-GB" w:eastAsia="en-GB"/>
              </w:rPr>
              <w:fldChar w:fldCharType="end"/>
            </w:r>
          </w:p>
        </w:tc>
        <w:tc>
          <w:tcPr>
            <w:tcW w:w="1276" w:type="dxa"/>
            <w:tcBorders>
              <w:top w:val="single" w:sz="4" w:space="0" w:color="auto"/>
              <w:left w:val="nil"/>
              <w:bottom w:val="nil"/>
              <w:right w:val="nil"/>
            </w:tcBorders>
            <w:vAlign w:val="center"/>
          </w:tcPr>
          <w:p w14:paraId="6A7D60F0" w14:textId="5E066976"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4" w:space="0" w:color="auto"/>
              <w:left w:val="nil"/>
              <w:bottom w:val="nil"/>
              <w:right w:val="nil"/>
            </w:tcBorders>
            <w:shd w:val="clear" w:color="auto" w:fill="auto"/>
            <w:vAlign w:val="center"/>
          </w:tcPr>
          <w:p w14:paraId="35A7E06E" w14:textId="61072759"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0.703°×0.703°</w:t>
            </w:r>
          </w:p>
        </w:tc>
        <w:tc>
          <w:tcPr>
            <w:tcW w:w="1446" w:type="dxa"/>
            <w:vMerge w:val="restart"/>
            <w:tcBorders>
              <w:top w:val="single" w:sz="4" w:space="0" w:color="auto"/>
              <w:left w:val="nil"/>
              <w:bottom w:val="single" w:sz="4" w:space="0" w:color="auto"/>
              <w:right w:val="nil"/>
            </w:tcBorders>
            <w:vAlign w:val="center"/>
          </w:tcPr>
          <w:p w14:paraId="0459BB33"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91</w:t>
            </w:r>
          </w:p>
        </w:tc>
      </w:tr>
      <w:tr w:rsidR="00221658" w:rsidRPr="007C43B9" w14:paraId="72AB7568" w14:textId="77777777" w:rsidTr="00221658">
        <w:tc>
          <w:tcPr>
            <w:tcW w:w="1985" w:type="dxa"/>
            <w:vMerge/>
            <w:tcBorders>
              <w:top w:val="nil"/>
              <w:left w:val="nil"/>
              <w:bottom w:val="single" w:sz="4" w:space="0" w:color="auto"/>
              <w:right w:val="nil"/>
            </w:tcBorders>
            <w:vAlign w:val="center"/>
          </w:tcPr>
          <w:p w14:paraId="42BDDD3D"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701" w:type="dxa"/>
            <w:vMerge/>
            <w:tcBorders>
              <w:top w:val="nil"/>
              <w:left w:val="nil"/>
              <w:bottom w:val="single" w:sz="4" w:space="0" w:color="auto"/>
              <w:right w:val="nil"/>
            </w:tcBorders>
            <w:shd w:val="clear" w:color="auto" w:fill="auto"/>
            <w:vAlign w:val="center"/>
          </w:tcPr>
          <w:p w14:paraId="08DD52B1" w14:textId="47BE6B8F"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4" w:space="0" w:color="auto"/>
              <w:right w:val="nil"/>
            </w:tcBorders>
            <w:vAlign w:val="center"/>
          </w:tcPr>
          <w:p w14:paraId="0B927801" w14:textId="3708BCB1"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4" w:space="0" w:color="auto"/>
              <w:right w:val="nil"/>
            </w:tcBorders>
            <w:shd w:val="clear" w:color="auto" w:fill="auto"/>
            <w:vAlign w:val="center"/>
          </w:tcPr>
          <w:p w14:paraId="2DBA0880" w14:textId="66FCCEB2"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0.352°×0.352°</w:t>
            </w:r>
          </w:p>
        </w:tc>
        <w:tc>
          <w:tcPr>
            <w:tcW w:w="1446" w:type="dxa"/>
            <w:vMerge/>
            <w:tcBorders>
              <w:top w:val="single" w:sz="4" w:space="0" w:color="auto"/>
              <w:left w:val="nil"/>
              <w:bottom w:val="single" w:sz="4" w:space="0" w:color="auto"/>
              <w:right w:val="nil"/>
            </w:tcBorders>
            <w:vAlign w:val="center"/>
          </w:tcPr>
          <w:p w14:paraId="54E4D2D1"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r>
      <w:tr w:rsidR="00221658" w:rsidRPr="007C43B9" w14:paraId="248081DC" w14:textId="77777777" w:rsidTr="00221658">
        <w:tc>
          <w:tcPr>
            <w:tcW w:w="1985" w:type="dxa"/>
            <w:vMerge w:val="restart"/>
            <w:tcBorders>
              <w:top w:val="single" w:sz="4" w:space="0" w:color="auto"/>
              <w:left w:val="nil"/>
              <w:bottom w:val="single" w:sz="4" w:space="0" w:color="auto"/>
              <w:right w:val="nil"/>
            </w:tcBorders>
            <w:vAlign w:val="center"/>
          </w:tcPr>
          <w:p w14:paraId="1A8D607D"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Meteorological Research Institute (Japan)</w:t>
            </w:r>
          </w:p>
        </w:tc>
        <w:tc>
          <w:tcPr>
            <w:tcW w:w="1701" w:type="dxa"/>
            <w:vMerge w:val="restart"/>
            <w:tcBorders>
              <w:top w:val="single" w:sz="4" w:space="0" w:color="auto"/>
              <w:left w:val="nil"/>
              <w:bottom w:val="single" w:sz="4" w:space="0" w:color="auto"/>
              <w:right w:val="nil"/>
            </w:tcBorders>
            <w:shd w:val="clear" w:color="auto" w:fill="auto"/>
            <w:vAlign w:val="center"/>
          </w:tcPr>
          <w:p w14:paraId="3CBB53C2" w14:textId="52524A88"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MRI-AGCM3-2</w:t>
            </w:r>
            <w:r w:rsidR="00EA02BD" w:rsidRPr="00EA02BD">
              <w:rPr>
                <w:rFonts w:eastAsia="Times New Roman"/>
                <w:color w:val="00000A"/>
                <w:sz w:val="15"/>
                <w:szCs w:val="15"/>
                <w:vertAlign w:val="superscript"/>
                <w:lang w:val="en-GB" w:eastAsia="en-GB"/>
              </w:rPr>
              <w:fldChar w:fldCharType="begin"/>
            </w:r>
            <w:r w:rsidR="00EA02BD" w:rsidRPr="00EA02BD">
              <w:rPr>
                <w:rFonts w:eastAsia="Times New Roman"/>
                <w:color w:val="00000A"/>
                <w:sz w:val="15"/>
                <w:szCs w:val="15"/>
                <w:vertAlign w:val="superscript"/>
                <w:lang w:val="en-GB" w:eastAsia="en-GB"/>
              </w:rPr>
              <w:instrText xml:space="preserve"> REF _Ref103556932 \r \h </w:instrText>
            </w:r>
            <w:r w:rsidR="00EA02BD">
              <w:rPr>
                <w:rFonts w:eastAsia="Times New Roman"/>
                <w:color w:val="00000A"/>
                <w:sz w:val="15"/>
                <w:szCs w:val="15"/>
                <w:vertAlign w:val="superscript"/>
                <w:lang w:val="en-GB" w:eastAsia="en-GB"/>
              </w:rPr>
              <w:instrText xml:space="preserve"> \* MERGEFORMAT </w:instrText>
            </w:r>
            <w:r w:rsidR="00EA02BD" w:rsidRPr="00EA02BD">
              <w:rPr>
                <w:rFonts w:eastAsia="Times New Roman"/>
                <w:color w:val="00000A"/>
                <w:sz w:val="15"/>
                <w:szCs w:val="15"/>
                <w:vertAlign w:val="superscript"/>
                <w:lang w:val="en-GB" w:eastAsia="en-GB"/>
              </w:rPr>
            </w:r>
            <w:r w:rsidR="00EA02BD" w:rsidRPr="00EA02BD">
              <w:rPr>
                <w:rFonts w:eastAsia="Times New Roman"/>
                <w:color w:val="00000A"/>
                <w:sz w:val="15"/>
                <w:szCs w:val="15"/>
                <w:vertAlign w:val="superscript"/>
                <w:lang w:val="en-GB" w:eastAsia="en-GB"/>
              </w:rPr>
              <w:fldChar w:fldCharType="separate"/>
            </w:r>
            <w:r w:rsidR="00EA02BD" w:rsidRPr="00EA02BD">
              <w:rPr>
                <w:rFonts w:eastAsia="Times New Roman"/>
                <w:color w:val="00000A"/>
                <w:sz w:val="15"/>
                <w:szCs w:val="15"/>
                <w:vertAlign w:val="superscript"/>
                <w:lang w:val="en-GB" w:eastAsia="en-GB"/>
              </w:rPr>
              <w:t>6</w:t>
            </w:r>
            <w:r w:rsidR="00EA02BD" w:rsidRPr="00EA02BD">
              <w:rPr>
                <w:rFonts w:eastAsia="Times New Roman"/>
                <w:color w:val="00000A"/>
                <w:sz w:val="15"/>
                <w:szCs w:val="15"/>
                <w:vertAlign w:val="superscript"/>
                <w:lang w:val="en-GB" w:eastAsia="en-GB"/>
              </w:rPr>
              <w:fldChar w:fldCharType="end"/>
            </w:r>
          </w:p>
        </w:tc>
        <w:tc>
          <w:tcPr>
            <w:tcW w:w="1276" w:type="dxa"/>
            <w:tcBorders>
              <w:top w:val="single" w:sz="4" w:space="0" w:color="auto"/>
              <w:left w:val="nil"/>
              <w:bottom w:val="nil"/>
              <w:right w:val="nil"/>
            </w:tcBorders>
            <w:vAlign w:val="center"/>
          </w:tcPr>
          <w:p w14:paraId="1A3B3909" w14:textId="653BB08F"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4" w:space="0" w:color="auto"/>
              <w:left w:val="nil"/>
              <w:bottom w:val="nil"/>
              <w:right w:val="nil"/>
            </w:tcBorders>
            <w:shd w:val="clear" w:color="auto" w:fill="auto"/>
            <w:vAlign w:val="center"/>
          </w:tcPr>
          <w:p w14:paraId="798903BA" w14:textId="0D128313"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0.563°×0.563°</w:t>
            </w:r>
          </w:p>
        </w:tc>
        <w:tc>
          <w:tcPr>
            <w:tcW w:w="1446" w:type="dxa"/>
            <w:vMerge w:val="restart"/>
            <w:tcBorders>
              <w:top w:val="single" w:sz="4" w:space="0" w:color="auto"/>
              <w:left w:val="nil"/>
              <w:bottom w:val="single" w:sz="4" w:space="0" w:color="auto"/>
              <w:right w:val="nil"/>
            </w:tcBorders>
            <w:vAlign w:val="center"/>
          </w:tcPr>
          <w:p w14:paraId="1860F700"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60</w:t>
            </w:r>
          </w:p>
        </w:tc>
      </w:tr>
      <w:tr w:rsidR="00221658" w:rsidRPr="007C43B9" w14:paraId="4F7478D6" w14:textId="77777777" w:rsidTr="00221658">
        <w:trPr>
          <w:trHeight w:val="147"/>
        </w:trPr>
        <w:tc>
          <w:tcPr>
            <w:tcW w:w="1985" w:type="dxa"/>
            <w:vMerge/>
            <w:tcBorders>
              <w:top w:val="nil"/>
              <w:left w:val="nil"/>
              <w:bottom w:val="single" w:sz="4" w:space="0" w:color="auto"/>
              <w:right w:val="nil"/>
            </w:tcBorders>
            <w:vAlign w:val="center"/>
          </w:tcPr>
          <w:p w14:paraId="0B6249C5"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701" w:type="dxa"/>
            <w:vMerge/>
            <w:tcBorders>
              <w:top w:val="nil"/>
              <w:left w:val="nil"/>
              <w:bottom w:val="single" w:sz="4" w:space="0" w:color="auto"/>
              <w:right w:val="nil"/>
            </w:tcBorders>
            <w:shd w:val="clear" w:color="auto" w:fill="auto"/>
            <w:vAlign w:val="center"/>
          </w:tcPr>
          <w:p w14:paraId="54B4C7EF" w14:textId="3C112C09"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4" w:space="0" w:color="auto"/>
              <w:right w:val="nil"/>
            </w:tcBorders>
            <w:vAlign w:val="center"/>
          </w:tcPr>
          <w:p w14:paraId="5F3E7B6F" w14:textId="3DF14B1F"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4" w:space="0" w:color="auto"/>
              <w:right w:val="nil"/>
            </w:tcBorders>
            <w:shd w:val="clear" w:color="auto" w:fill="auto"/>
            <w:vAlign w:val="center"/>
          </w:tcPr>
          <w:p w14:paraId="3666EC99" w14:textId="6D07CC88"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0.188°×0.188°</w:t>
            </w:r>
          </w:p>
        </w:tc>
        <w:tc>
          <w:tcPr>
            <w:tcW w:w="1446" w:type="dxa"/>
            <w:vMerge/>
            <w:tcBorders>
              <w:top w:val="single" w:sz="4" w:space="0" w:color="auto"/>
              <w:left w:val="nil"/>
              <w:bottom w:val="single" w:sz="4" w:space="0" w:color="auto"/>
              <w:right w:val="nil"/>
            </w:tcBorders>
            <w:vAlign w:val="center"/>
          </w:tcPr>
          <w:p w14:paraId="258F7C14"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r>
      <w:tr w:rsidR="00221658" w:rsidRPr="007C43B9" w14:paraId="14B99BE3" w14:textId="77777777" w:rsidTr="00221658">
        <w:trPr>
          <w:trHeight w:val="337"/>
        </w:trPr>
        <w:tc>
          <w:tcPr>
            <w:tcW w:w="1985" w:type="dxa"/>
            <w:vMerge w:val="restart"/>
            <w:tcBorders>
              <w:top w:val="single" w:sz="4" w:space="0" w:color="auto"/>
              <w:left w:val="nil"/>
              <w:bottom w:val="single" w:sz="4" w:space="0" w:color="auto"/>
              <w:right w:val="nil"/>
            </w:tcBorders>
            <w:vAlign w:val="center"/>
          </w:tcPr>
          <w:p w14:paraId="21174D11" w14:textId="5B35EC86" w:rsidR="00664B64" w:rsidRPr="007C43B9" w:rsidRDefault="00DC786B" w:rsidP="00DC786B">
            <w:pPr>
              <w:snapToGrid/>
              <w:spacing w:before="0" w:after="0" w:line="240" w:lineRule="auto"/>
              <w:ind w:firstLine="0"/>
              <w:jc w:val="center"/>
              <w:rPr>
                <w:rFonts w:eastAsia="Times New Roman"/>
                <w:color w:val="00000A"/>
                <w:sz w:val="15"/>
                <w:szCs w:val="15"/>
                <w:lang w:val="en-GB" w:eastAsia="en-GB"/>
              </w:rPr>
            </w:pPr>
            <w:r w:rsidRPr="00DC786B">
              <w:rPr>
                <w:rFonts w:eastAsia="Times New Roman"/>
                <w:color w:val="00000A"/>
                <w:sz w:val="15"/>
                <w:szCs w:val="15"/>
                <w:lang w:val="en-GB" w:eastAsia="en-GB"/>
              </w:rPr>
              <w:t xml:space="preserve">Max Planck Institute for Meteorology </w:t>
            </w:r>
            <w:r w:rsidR="00664B64" w:rsidRPr="007C43B9">
              <w:rPr>
                <w:rFonts w:eastAsia="Times New Roman"/>
                <w:color w:val="00000A"/>
                <w:sz w:val="15"/>
                <w:szCs w:val="15"/>
                <w:lang w:val="en-GB" w:eastAsia="en-GB"/>
              </w:rPr>
              <w:t>(</w:t>
            </w:r>
            <w:r>
              <w:rPr>
                <w:rFonts w:eastAsia="Times New Roman"/>
                <w:color w:val="00000A"/>
                <w:sz w:val="15"/>
                <w:szCs w:val="15"/>
                <w:lang w:val="en-GB" w:eastAsia="en-GB"/>
              </w:rPr>
              <w:t>Germany</w:t>
            </w:r>
            <w:r w:rsidR="00664B64" w:rsidRPr="007C43B9">
              <w:rPr>
                <w:rFonts w:eastAsia="Times New Roman"/>
                <w:color w:val="00000A"/>
                <w:sz w:val="15"/>
                <w:szCs w:val="15"/>
                <w:lang w:val="en-GB" w:eastAsia="en-GB"/>
              </w:rPr>
              <w:t>)</w:t>
            </w:r>
          </w:p>
        </w:tc>
        <w:tc>
          <w:tcPr>
            <w:tcW w:w="1701" w:type="dxa"/>
            <w:vMerge w:val="restart"/>
            <w:tcBorders>
              <w:top w:val="single" w:sz="4" w:space="0" w:color="auto"/>
              <w:left w:val="nil"/>
              <w:bottom w:val="single" w:sz="4" w:space="0" w:color="auto"/>
              <w:right w:val="nil"/>
            </w:tcBorders>
            <w:shd w:val="clear" w:color="auto" w:fill="auto"/>
            <w:vAlign w:val="center"/>
          </w:tcPr>
          <w:p w14:paraId="15F45A13" w14:textId="63C4BE0F" w:rsidR="00664B64" w:rsidRPr="007C43B9" w:rsidRDefault="00C13A9C" w:rsidP="00664B64">
            <w:pPr>
              <w:spacing w:before="0" w:after="0" w:line="240" w:lineRule="auto"/>
              <w:ind w:firstLine="0"/>
              <w:jc w:val="center"/>
              <w:rPr>
                <w:rFonts w:eastAsia="Times New Roman"/>
                <w:color w:val="00000A"/>
                <w:sz w:val="15"/>
                <w:szCs w:val="15"/>
                <w:lang w:val="en-GB" w:eastAsia="en-GB"/>
              </w:rPr>
            </w:pPr>
            <w:r w:rsidRPr="00C13A9C">
              <w:rPr>
                <w:rFonts w:eastAsia="Times New Roman"/>
                <w:color w:val="00000A"/>
                <w:sz w:val="15"/>
                <w:szCs w:val="15"/>
                <w:lang w:val="en-GB" w:eastAsia="en-GB"/>
              </w:rPr>
              <w:t>MPI-ESM-XR</w:t>
            </w:r>
            <w:r w:rsidR="00EE7F1D" w:rsidRPr="00EE7F1D">
              <w:rPr>
                <w:rFonts w:eastAsia="Times New Roman"/>
                <w:color w:val="00000A"/>
                <w:sz w:val="15"/>
                <w:szCs w:val="15"/>
                <w:vertAlign w:val="superscript"/>
                <w:lang w:val="en-GB" w:eastAsia="en-GB"/>
              </w:rPr>
              <w:fldChar w:fldCharType="begin"/>
            </w:r>
            <w:r w:rsidR="00EE7F1D" w:rsidRPr="00EE7F1D">
              <w:rPr>
                <w:rFonts w:eastAsia="Times New Roman"/>
                <w:color w:val="00000A"/>
                <w:sz w:val="15"/>
                <w:szCs w:val="15"/>
                <w:vertAlign w:val="superscript"/>
                <w:lang w:val="en-GB" w:eastAsia="en-GB"/>
              </w:rPr>
              <w:instrText xml:space="preserve"> REF _Ref106725390 \r \h  \* MERGEFORMAT </w:instrText>
            </w:r>
            <w:r w:rsidR="00EE7F1D" w:rsidRPr="00EE7F1D">
              <w:rPr>
                <w:rFonts w:eastAsia="Times New Roman"/>
                <w:color w:val="00000A"/>
                <w:sz w:val="15"/>
                <w:szCs w:val="15"/>
                <w:vertAlign w:val="superscript"/>
                <w:lang w:val="en-GB" w:eastAsia="en-GB"/>
              </w:rPr>
            </w:r>
            <w:r w:rsidR="00EE7F1D" w:rsidRPr="00EE7F1D">
              <w:rPr>
                <w:rFonts w:eastAsia="Times New Roman"/>
                <w:color w:val="00000A"/>
                <w:sz w:val="15"/>
                <w:szCs w:val="15"/>
                <w:vertAlign w:val="superscript"/>
                <w:lang w:val="en-GB" w:eastAsia="en-GB"/>
              </w:rPr>
              <w:fldChar w:fldCharType="separate"/>
            </w:r>
            <w:r w:rsidR="00EE7F1D" w:rsidRPr="00EE7F1D">
              <w:rPr>
                <w:rFonts w:eastAsia="Times New Roman"/>
                <w:color w:val="00000A"/>
                <w:sz w:val="15"/>
                <w:szCs w:val="15"/>
                <w:vertAlign w:val="superscript"/>
                <w:lang w:val="en-GB" w:eastAsia="en-GB"/>
              </w:rPr>
              <w:t>7</w:t>
            </w:r>
            <w:r w:rsidR="00EE7F1D" w:rsidRPr="00EE7F1D">
              <w:rPr>
                <w:rFonts w:eastAsia="Times New Roman"/>
                <w:color w:val="00000A"/>
                <w:sz w:val="15"/>
                <w:szCs w:val="15"/>
                <w:vertAlign w:val="superscript"/>
                <w:lang w:val="en-GB" w:eastAsia="en-GB"/>
              </w:rPr>
              <w:fldChar w:fldCharType="end"/>
            </w:r>
          </w:p>
        </w:tc>
        <w:tc>
          <w:tcPr>
            <w:tcW w:w="1276" w:type="dxa"/>
            <w:tcBorders>
              <w:top w:val="single" w:sz="4" w:space="0" w:color="auto"/>
              <w:left w:val="nil"/>
              <w:bottom w:val="nil"/>
              <w:right w:val="nil"/>
            </w:tcBorders>
            <w:vAlign w:val="center"/>
          </w:tcPr>
          <w:p w14:paraId="06111946" w14:textId="6CDBB0B0"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4" w:space="0" w:color="auto"/>
              <w:left w:val="nil"/>
              <w:bottom w:val="nil"/>
              <w:right w:val="nil"/>
            </w:tcBorders>
            <w:shd w:val="clear" w:color="auto" w:fill="auto"/>
            <w:vAlign w:val="center"/>
          </w:tcPr>
          <w:p w14:paraId="5A3036A9" w14:textId="7B123F3E"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w:t>
            </w:r>
            <w:r>
              <w:rPr>
                <w:rFonts w:eastAsia="Times New Roman"/>
                <w:color w:val="00000A"/>
                <w:sz w:val="15"/>
                <w:szCs w:val="15"/>
                <w:lang w:val="en-GB" w:eastAsia="en-GB"/>
              </w:rPr>
              <w:t>5</w:t>
            </w:r>
            <w:r w:rsidRPr="007C43B9">
              <w:rPr>
                <w:rFonts w:eastAsia="Times New Roman"/>
                <w:color w:val="00000A"/>
                <w:sz w:val="15"/>
                <w:szCs w:val="15"/>
                <w:lang w:val="en-GB" w:eastAsia="en-GB"/>
              </w:rPr>
              <w:t>°×0.</w:t>
            </w:r>
            <w:r>
              <w:rPr>
                <w:rFonts w:eastAsia="Times New Roman"/>
                <w:color w:val="00000A"/>
                <w:sz w:val="15"/>
                <w:szCs w:val="15"/>
                <w:lang w:val="en-GB" w:eastAsia="en-GB"/>
              </w:rPr>
              <w:t>5</w:t>
            </w:r>
            <w:r w:rsidRPr="007C43B9">
              <w:rPr>
                <w:rFonts w:eastAsia="Times New Roman"/>
                <w:color w:val="00000A"/>
                <w:sz w:val="15"/>
                <w:szCs w:val="15"/>
                <w:lang w:val="en-GB" w:eastAsia="en-GB"/>
              </w:rPr>
              <w:t>°</w:t>
            </w:r>
          </w:p>
        </w:tc>
        <w:tc>
          <w:tcPr>
            <w:tcW w:w="1446" w:type="dxa"/>
            <w:vMerge w:val="restart"/>
            <w:tcBorders>
              <w:top w:val="single" w:sz="4" w:space="0" w:color="auto"/>
              <w:left w:val="nil"/>
              <w:right w:val="nil"/>
            </w:tcBorders>
            <w:vAlign w:val="center"/>
          </w:tcPr>
          <w:p w14:paraId="06ADCE3C" w14:textId="019D34F0"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Pr>
                <w:rFonts w:eastAsia="Times New Roman"/>
                <w:color w:val="00000A"/>
                <w:sz w:val="15"/>
                <w:szCs w:val="15"/>
                <w:lang w:val="en-GB" w:eastAsia="en-GB"/>
              </w:rPr>
              <w:t>32</w:t>
            </w:r>
          </w:p>
        </w:tc>
      </w:tr>
      <w:tr w:rsidR="003410C8" w:rsidRPr="007C43B9" w14:paraId="289AE57A" w14:textId="77777777" w:rsidTr="00221658">
        <w:trPr>
          <w:trHeight w:val="199"/>
        </w:trPr>
        <w:tc>
          <w:tcPr>
            <w:tcW w:w="1985" w:type="dxa"/>
            <w:vMerge/>
            <w:tcBorders>
              <w:top w:val="nil"/>
              <w:left w:val="nil"/>
              <w:bottom w:val="single" w:sz="4" w:space="0" w:color="auto"/>
              <w:right w:val="nil"/>
            </w:tcBorders>
            <w:vAlign w:val="center"/>
          </w:tcPr>
          <w:p w14:paraId="5C439FCF" w14:textId="77777777" w:rsidR="00664B64" w:rsidRPr="007C43B9" w:rsidRDefault="00664B64" w:rsidP="00664B64">
            <w:pPr>
              <w:snapToGrid/>
              <w:spacing w:before="0" w:after="0" w:line="240" w:lineRule="auto"/>
              <w:ind w:firstLine="0"/>
              <w:jc w:val="center"/>
              <w:rPr>
                <w:rFonts w:eastAsia="Times New Roman"/>
                <w:color w:val="00000A"/>
                <w:sz w:val="15"/>
                <w:szCs w:val="15"/>
                <w:lang w:val="fr-FR" w:eastAsia="en-GB"/>
              </w:rPr>
            </w:pPr>
          </w:p>
        </w:tc>
        <w:tc>
          <w:tcPr>
            <w:tcW w:w="1701" w:type="dxa"/>
            <w:vMerge/>
            <w:tcBorders>
              <w:top w:val="nil"/>
              <w:left w:val="nil"/>
              <w:bottom w:val="single" w:sz="4" w:space="0" w:color="auto"/>
              <w:right w:val="nil"/>
            </w:tcBorders>
            <w:shd w:val="clear" w:color="auto" w:fill="auto"/>
            <w:vAlign w:val="center"/>
          </w:tcPr>
          <w:p w14:paraId="2956A749" w14:textId="5DB27066"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4" w:space="0" w:color="auto"/>
              <w:right w:val="nil"/>
            </w:tcBorders>
            <w:vAlign w:val="center"/>
          </w:tcPr>
          <w:p w14:paraId="6EC89980" w14:textId="43163444"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4" w:space="0" w:color="auto"/>
              <w:right w:val="nil"/>
            </w:tcBorders>
            <w:shd w:val="clear" w:color="auto" w:fill="auto"/>
            <w:vAlign w:val="center"/>
          </w:tcPr>
          <w:p w14:paraId="7C5C6240" w14:textId="59034DB2"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sidRPr="007C43B9">
              <w:rPr>
                <w:rFonts w:eastAsia="Times New Roman"/>
                <w:color w:val="00000A"/>
                <w:sz w:val="15"/>
                <w:szCs w:val="15"/>
                <w:lang w:val="en-GB" w:eastAsia="en-GB"/>
              </w:rPr>
              <w:t>0.</w:t>
            </w:r>
            <w:r>
              <w:rPr>
                <w:rFonts w:eastAsia="Times New Roman"/>
                <w:color w:val="00000A"/>
                <w:sz w:val="15"/>
                <w:szCs w:val="15"/>
                <w:lang w:val="en-GB" w:eastAsia="en-GB"/>
              </w:rPr>
              <w:t>234</w:t>
            </w:r>
            <w:r w:rsidRPr="007C43B9">
              <w:rPr>
                <w:rFonts w:eastAsia="Times New Roman"/>
                <w:color w:val="00000A"/>
                <w:sz w:val="15"/>
                <w:szCs w:val="15"/>
                <w:lang w:val="en-GB" w:eastAsia="en-GB"/>
              </w:rPr>
              <w:t>°×0.</w:t>
            </w:r>
            <w:r>
              <w:rPr>
                <w:rFonts w:eastAsia="Times New Roman"/>
                <w:color w:val="00000A"/>
                <w:sz w:val="15"/>
                <w:szCs w:val="15"/>
                <w:lang w:val="en-GB" w:eastAsia="en-GB"/>
              </w:rPr>
              <w:t>234</w:t>
            </w:r>
            <w:r w:rsidRPr="007C43B9">
              <w:rPr>
                <w:rFonts w:eastAsia="Times New Roman"/>
                <w:color w:val="00000A"/>
                <w:sz w:val="15"/>
                <w:szCs w:val="15"/>
                <w:lang w:val="en-GB" w:eastAsia="en-GB"/>
              </w:rPr>
              <w:t>°</w:t>
            </w:r>
          </w:p>
        </w:tc>
        <w:tc>
          <w:tcPr>
            <w:tcW w:w="1446" w:type="dxa"/>
            <w:vMerge/>
            <w:tcBorders>
              <w:left w:val="nil"/>
              <w:bottom w:val="single" w:sz="4" w:space="0" w:color="auto"/>
              <w:right w:val="nil"/>
            </w:tcBorders>
            <w:vAlign w:val="center"/>
          </w:tcPr>
          <w:p w14:paraId="7F321D11" w14:textId="54762238"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p>
        </w:tc>
      </w:tr>
      <w:tr w:rsidR="00221658" w:rsidRPr="007C43B9" w14:paraId="2A60C880" w14:textId="77777777" w:rsidTr="00221658">
        <w:trPr>
          <w:trHeight w:val="253"/>
        </w:trPr>
        <w:tc>
          <w:tcPr>
            <w:tcW w:w="1985" w:type="dxa"/>
            <w:vMerge w:val="restart"/>
            <w:tcBorders>
              <w:top w:val="single" w:sz="4" w:space="0" w:color="auto"/>
              <w:left w:val="nil"/>
              <w:bottom w:val="single" w:sz="12" w:space="0" w:color="auto"/>
              <w:right w:val="nil"/>
            </w:tcBorders>
            <w:vAlign w:val="center"/>
          </w:tcPr>
          <w:p w14:paraId="2135D0D5"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EB4970">
              <w:rPr>
                <w:rFonts w:eastAsia="Times New Roman"/>
                <w:color w:val="00000A"/>
                <w:sz w:val="15"/>
                <w:szCs w:val="15"/>
                <w:lang w:val="fr-FR" w:eastAsia="en-GB"/>
              </w:rPr>
              <w:t>Euro‑Mediterranean Center on Climate Change</w:t>
            </w:r>
            <w:r w:rsidRPr="007C43B9">
              <w:rPr>
                <w:rFonts w:eastAsia="Times New Roman"/>
                <w:color w:val="00000A"/>
                <w:sz w:val="15"/>
                <w:szCs w:val="15"/>
                <w:lang w:val="fr-FR" w:eastAsia="en-GB"/>
              </w:rPr>
              <w:t xml:space="preserve"> (</w:t>
            </w:r>
            <w:r>
              <w:rPr>
                <w:rFonts w:eastAsia="Times New Roman"/>
                <w:color w:val="00000A"/>
                <w:sz w:val="15"/>
                <w:szCs w:val="15"/>
                <w:lang w:val="fr-FR" w:eastAsia="en-GB"/>
              </w:rPr>
              <w:t>Italy</w:t>
            </w:r>
            <w:r w:rsidRPr="007C43B9">
              <w:rPr>
                <w:rFonts w:eastAsia="Times New Roman"/>
                <w:color w:val="00000A"/>
                <w:sz w:val="15"/>
                <w:szCs w:val="15"/>
                <w:lang w:val="fr-FR" w:eastAsia="en-GB"/>
              </w:rPr>
              <w:t>)</w:t>
            </w:r>
          </w:p>
        </w:tc>
        <w:tc>
          <w:tcPr>
            <w:tcW w:w="1701" w:type="dxa"/>
            <w:vMerge w:val="restart"/>
            <w:tcBorders>
              <w:top w:val="single" w:sz="4" w:space="0" w:color="auto"/>
              <w:left w:val="nil"/>
              <w:bottom w:val="single" w:sz="12" w:space="0" w:color="auto"/>
              <w:right w:val="nil"/>
            </w:tcBorders>
            <w:shd w:val="clear" w:color="auto" w:fill="auto"/>
            <w:vAlign w:val="center"/>
          </w:tcPr>
          <w:p w14:paraId="2899524C" w14:textId="5C116E54"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sidRPr="00EB4970">
              <w:rPr>
                <w:rFonts w:eastAsia="Times New Roman"/>
                <w:color w:val="00000A"/>
                <w:sz w:val="15"/>
                <w:szCs w:val="15"/>
                <w:lang w:val="en-GB" w:eastAsia="en-GB"/>
              </w:rPr>
              <w:t>CMCC-CM2</w:t>
            </w:r>
            <w:r w:rsidR="00EA02BD" w:rsidRPr="00EA02BD">
              <w:rPr>
                <w:rFonts w:eastAsia="Times New Roman"/>
                <w:color w:val="00000A"/>
                <w:sz w:val="15"/>
                <w:szCs w:val="15"/>
                <w:vertAlign w:val="superscript"/>
                <w:lang w:val="en-GB" w:eastAsia="en-GB"/>
              </w:rPr>
              <w:fldChar w:fldCharType="begin"/>
            </w:r>
            <w:r w:rsidR="00EA02BD" w:rsidRPr="00EA02BD">
              <w:rPr>
                <w:rFonts w:eastAsia="Times New Roman"/>
                <w:color w:val="00000A"/>
                <w:sz w:val="15"/>
                <w:szCs w:val="15"/>
                <w:vertAlign w:val="superscript"/>
                <w:lang w:val="en-GB" w:eastAsia="en-GB"/>
              </w:rPr>
              <w:instrText xml:space="preserve"> REF _Ref103556945 \r \h </w:instrText>
            </w:r>
            <w:r w:rsidR="00EA02BD">
              <w:rPr>
                <w:rFonts w:eastAsia="Times New Roman"/>
                <w:color w:val="00000A"/>
                <w:sz w:val="15"/>
                <w:szCs w:val="15"/>
                <w:vertAlign w:val="superscript"/>
                <w:lang w:val="en-GB" w:eastAsia="en-GB"/>
              </w:rPr>
              <w:instrText xml:space="preserve"> \* MERGEFORMAT </w:instrText>
            </w:r>
            <w:r w:rsidR="00EA02BD" w:rsidRPr="00EA02BD">
              <w:rPr>
                <w:rFonts w:eastAsia="Times New Roman"/>
                <w:color w:val="00000A"/>
                <w:sz w:val="15"/>
                <w:szCs w:val="15"/>
                <w:vertAlign w:val="superscript"/>
                <w:lang w:val="en-GB" w:eastAsia="en-GB"/>
              </w:rPr>
            </w:r>
            <w:r w:rsidR="00EA02BD" w:rsidRPr="00EA02BD">
              <w:rPr>
                <w:rFonts w:eastAsia="Times New Roman"/>
                <w:color w:val="00000A"/>
                <w:sz w:val="15"/>
                <w:szCs w:val="15"/>
                <w:vertAlign w:val="superscript"/>
                <w:lang w:val="en-GB" w:eastAsia="en-GB"/>
              </w:rPr>
              <w:fldChar w:fldCharType="separate"/>
            </w:r>
            <w:r w:rsidR="00EA02BD" w:rsidRPr="00EA02BD">
              <w:rPr>
                <w:rFonts w:eastAsia="Times New Roman"/>
                <w:color w:val="00000A"/>
                <w:sz w:val="15"/>
                <w:szCs w:val="15"/>
                <w:vertAlign w:val="superscript"/>
                <w:lang w:val="en-GB" w:eastAsia="en-GB"/>
              </w:rPr>
              <w:t>8</w:t>
            </w:r>
            <w:r w:rsidR="00EA02BD" w:rsidRPr="00EA02BD">
              <w:rPr>
                <w:rFonts w:eastAsia="Times New Roman"/>
                <w:color w:val="00000A"/>
                <w:sz w:val="15"/>
                <w:szCs w:val="15"/>
                <w:vertAlign w:val="superscript"/>
                <w:lang w:val="en-GB" w:eastAsia="en-GB"/>
              </w:rPr>
              <w:fldChar w:fldCharType="end"/>
            </w:r>
          </w:p>
        </w:tc>
        <w:tc>
          <w:tcPr>
            <w:tcW w:w="1276" w:type="dxa"/>
            <w:tcBorders>
              <w:top w:val="single" w:sz="4" w:space="0" w:color="auto"/>
              <w:left w:val="nil"/>
              <w:bottom w:val="nil"/>
              <w:right w:val="nil"/>
            </w:tcBorders>
            <w:vAlign w:val="center"/>
          </w:tcPr>
          <w:p w14:paraId="77136E4A" w14:textId="45DFF6EF" w:rsidR="00664B64"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Low-Res.</w:t>
            </w:r>
          </w:p>
        </w:tc>
        <w:tc>
          <w:tcPr>
            <w:tcW w:w="2268" w:type="dxa"/>
            <w:tcBorders>
              <w:top w:val="single" w:sz="4" w:space="0" w:color="auto"/>
              <w:left w:val="nil"/>
              <w:bottom w:val="nil"/>
              <w:right w:val="nil"/>
            </w:tcBorders>
            <w:shd w:val="clear" w:color="auto" w:fill="auto"/>
            <w:vAlign w:val="center"/>
          </w:tcPr>
          <w:p w14:paraId="1CF6FC10" w14:textId="20B5BCA9"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Times New Roman"/>
                <w:color w:val="00000A"/>
                <w:sz w:val="15"/>
                <w:szCs w:val="15"/>
                <w:lang w:val="en-GB" w:eastAsia="en-GB"/>
              </w:rPr>
              <w:t>1.</w:t>
            </w:r>
            <w:r w:rsidRPr="007C43B9">
              <w:rPr>
                <w:rFonts w:eastAsia="Times New Roman"/>
                <w:color w:val="00000A"/>
                <w:sz w:val="15"/>
                <w:szCs w:val="15"/>
                <w:lang w:val="en-GB" w:eastAsia="en-GB"/>
              </w:rPr>
              <w:t>25°×</w:t>
            </w:r>
            <w:r>
              <w:rPr>
                <w:rFonts w:eastAsia="Times New Roman"/>
                <w:color w:val="00000A"/>
                <w:sz w:val="15"/>
                <w:szCs w:val="15"/>
                <w:lang w:val="en-GB" w:eastAsia="en-GB"/>
              </w:rPr>
              <w:t>0</w:t>
            </w:r>
            <w:r w:rsidRPr="007C43B9">
              <w:rPr>
                <w:rFonts w:eastAsia="Times New Roman"/>
                <w:color w:val="00000A"/>
                <w:sz w:val="15"/>
                <w:szCs w:val="15"/>
                <w:lang w:val="en-GB" w:eastAsia="en-GB"/>
              </w:rPr>
              <w:t>.</w:t>
            </w:r>
            <w:r>
              <w:rPr>
                <w:rFonts w:eastAsia="Times New Roman"/>
                <w:color w:val="00000A"/>
                <w:sz w:val="15"/>
                <w:szCs w:val="15"/>
                <w:lang w:val="en-GB" w:eastAsia="en-GB"/>
              </w:rPr>
              <w:t>938</w:t>
            </w:r>
            <w:r w:rsidRPr="007C43B9">
              <w:rPr>
                <w:rFonts w:eastAsia="Times New Roman"/>
                <w:color w:val="00000A"/>
                <w:sz w:val="15"/>
                <w:szCs w:val="15"/>
                <w:lang w:val="en-GB" w:eastAsia="en-GB"/>
              </w:rPr>
              <w:t>°</w:t>
            </w:r>
          </w:p>
        </w:tc>
        <w:tc>
          <w:tcPr>
            <w:tcW w:w="1446" w:type="dxa"/>
            <w:vMerge w:val="restart"/>
            <w:tcBorders>
              <w:top w:val="single" w:sz="4" w:space="0" w:color="auto"/>
              <w:left w:val="nil"/>
              <w:right w:val="nil"/>
            </w:tcBorders>
            <w:vAlign w:val="center"/>
          </w:tcPr>
          <w:p w14:paraId="4A30AC1B" w14:textId="77777777" w:rsidR="00664B64" w:rsidRPr="007C43B9" w:rsidRDefault="00664B64" w:rsidP="00664B64">
            <w:pPr>
              <w:snapToGrid/>
              <w:spacing w:before="0" w:after="0" w:line="240" w:lineRule="auto"/>
              <w:ind w:firstLine="0"/>
              <w:jc w:val="center"/>
              <w:rPr>
                <w:rFonts w:eastAsia="Times New Roman"/>
                <w:color w:val="00000A"/>
                <w:sz w:val="15"/>
                <w:szCs w:val="15"/>
                <w:lang w:val="en-GB" w:eastAsia="en-GB"/>
              </w:rPr>
            </w:pPr>
            <w:r>
              <w:rPr>
                <w:rFonts w:eastAsia="Times New Roman"/>
                <w:color w:val="00000A"/>
                <w:sz w:val="15"/>
                <w:szCs w:val="15"/>
                <w:lang w:val="en-GB" w:eastAsia="en-GB"/>
              </w:rPr>
              <w:t>26</w:t>
            </w:r>
          </w:p>
        </w:tc>
      </w:tr>
      <w:tr w:rsidR="00221658" w:rsidRPr="007C43B9" w14:paraId="01B8E9D8" w14:textId="77777777" w:rsidTr="00221658">
        <w:trPr>
          <w:trHeight w:val="313"/>
        </w:trPr>
        <w:tc>
          <w:tcPr>
            <w:tcW w:w="1985" w:type="dxa"/>
            <w:vMerge/>
            <w:tcBorders>
              <w:top w:val="single" w:sz="4" w:space="0" w:color="auto"/>
              <w:left w:val="nil"/>
              <w:bottom w:val="single" w:sz="12" w:space="0" w:color="auto"/>
              <w:right w:val="nil"/>
            </w:tcBorders>
            <w:vAlign w:val="center"/>
          </w:tcPr>
          <w:p w14:paraId="246FFADF" w14:textId="77777777" w:rsidR="00664B64" w:rsidRPr="00EB4970" w:rsidRDefault="00664B64" w:rsidP="00664B64">
            <w:pPr>
              <w:snapToGrid/>
              <w:spacing w:before="0" w:after="0" w:line="240" w:lineRule="auto"/>
              <w:ind w:firstLine="0"/>
              <w:jc w:val="center"/>
              <w:rPr>
                <w:rFonts w:eastAsia="Times New Roman"/>
                <w:color w:val="00000A"/>
                <w:sz w:val="15"/>
                <w:szCs w:val="15"/>
                <w:lang w:val="fr-FR" w:eastAsia="en-GB"/>
              </w:rPr>
            </w:pPr>
          </w:p>
        </w:tc>
        <w:tc>
          <w:tcPr>
            <w:tcW w:w="1701" w:type="dxa"/>
            <w:vMerge/>
            <w:tcBorders>
              <w:top w:val="single" w:sz="4" w:space="0" w:color="auto"/>
              <w:left w:val="nil"/>
              <w:bottom w:val="single" w:sz="12" w:space="0" w:color="auto"/>
              <w:right w:val="nil"/>
            </w:tcBorders>
            <w:shd w:val="clear" w:color="auto" w:fill="auto"/>
            <w:vAlign w:val="center"/>
          </w:tcPr>
          <w:p w14:paraId="76F8046A" w14:textId="63444D77" w:rsidR="00664B64" w:rsidRPr="00EB4970" w:rsidRDefault="00664B64" w:rsidP="00664B64">
            <w:pPr>
              <w:snapToGrid/>
              <w:spacing w:before="0" w:after="0" w:line="240" w:lineRule="auto"/>
              <w:ind w:firstLine="0"/>
              <w:jc w:val="center"/>
              <w:rPr>
                <w:rFonts w:eastAsia="Times New Roman"/>
                <w:color w:val="00000A"/>
                <w:sz w:val="15"/>
                <w:szCs w:val="15"/>
                <w:lang w:val="en-GB" w:eastAsia="en-GB"/>
              </w:rPr>
            </w:pPr>
          </w:p>
        </w:tc>
        <w:tc>
          <w:tcPr>
            <w:tcW w:w="1276" w:type="dxa"/>
            <w:tcBorders>
              <w:top w:val="nil"/>
              <w:left w:val="nil"/>
              <w:bottom w:val="single" w:sz="12" w:space="0" w:color="auto"/>
              <w:right w:val="nil"/>
            </w:tcBorders>
            <w:vAlign w:val="center"/>
          </w:tcPr>
          <w:p w14:paraId="703BA4F2" w14:textId="3C110DAF" w:rsidR="00664B64" w:rsidRPr="007C43B9" w:rsidRDefault="00664B64" w:rsidP="00664B64">
            <w:pPr>
              <w:spacing w:before="0" w:after="0" w:line="240" w:lineRule="auto"/>
              <w:ind w:firstLine="0"/>
              <w:jc w:val="center"/>
              <w:rPr>
                <w:rFonts w:eastAsia="Times New Roman"/>
                <w:color w:val="00000A"/>
                <w:sz w:val="15"/>
                <w:szCs w:val="15"/>
                <w:lang w:val="en-GB" w:eastAsia="en-GB"/>
              </w:rPr>
            </w:pPr>
            <w:r>
              <w:rPr>
                <w:rFonts w:eastAsia="等线"/>
                <w:color w:val="00000A"/>
                <w:sz w:val="15"/>
                <w:szCs w:val="15"/>
                <w:lang w:val="en-GB" w:eastAsia="zh-CN"/>
              </w:rPr>
              <w:t>High-Res.</w:t>
            </w:r>
          </w:p>
        </w:tc>
        <w:tc>
          <w:tcPr>
            <w:tcW w:w="2268" w:type="dxa"/>
            <w:tcBorders>
              <w:top w:val="nil"/>
              <w:left w:val="nil"/>
              <w:bottom w:val="single" w:sz="12" w:space="0" w:color="auto"/>
              <w:right w:val="nil"/>
            </w:tcBorders>
            <w:shd w:val="clear" w:color="auto" w:fill="auto"/>
            <w:vAlign w:val="center"/>
          </w:tcPr>
          <w:p w14:paraId="23CE5AAF" w14:textId="3F7B175A" w:rsidR="00664B64" w:rsidRPr="0050541B" w:rsidRDefault="00664B64" w:rsidP="00664B64">
            <w:pPr>
              <w:spacing w:before="0" w:after="0" w:line="240" w:lineRule="auto"/>
              <w:ind w:firstLine="0"/>
              <w:jc w:val="center"/>
              <w:rPr>
                <w:rFonts w:eastAsiaTheme="minorEastAsia"/>
                <w:color w:val="00000A"/>
                <w:sz w:val="15"/>
                <w:szCs w:val="15"/>
                <w:lang w:val="en-GB" w:eastAsia="zh-CN"/>
              </w:rPr>
            </w:pPr>
            <w:r w:rsidRPr="007C43B9">
              <w:rPr>
                <w:rFonts w:eastAsia="Times New Roman"/>
                <w:color w:val="00000A"/>
                <w:sz w:val="15"/>
                <w:szCs w:val="15"/>
                <w:lang w:val="en-GB" w:eastAsia="en-GB"/>
              </w:rPr>
              <w:t>0.</w:t>
            </w:r>
            <w:r>
              <w:rPr>
                <w:rFonts w:eastAsia="Times New Roman"/>
                <w:color w:val="00000A"/>
                <w:sz w:val="15"/>
                <w:szCs w:val="15"/>
                <w:lang w:val="en-GB" w:eastAsia="en-GB"/>
              </w:rPr>
              <w:t>313</w:t>
            </w:r>
            <w:r w:rsidRPr="007C43B9">
              <w:rPr>
                <w:rFonts w:eastAsia="Times New Roman"/>
                <w:color w:val="00000A"/>
                <w:sz w:val="15"/>
                <w:szCs w:val="15"/>
                <w:lang w:val="en-GB" w:eastAsia="en-GB"/>
              </w:rPr>
              <w:t>°×0.</w:t>
            </w:r>
            <w:r>
              <w:rPr>
                <w:rFonts w:eastAsia="Times New Roman"/>
                <w:color w:val="00000A"/>
                <w:sz w:val="15"/>
                <w:szCs w:val="15"/>
                <w:lang w:val="en-GB" w:eastAsia="en-GB"/>
              </w:rPr>
              <w:t>234</w:t>
            </w:r>
            <w:r w:rsidRPr="007C43B9">
              <w:rPr>
                <w:rFonts w:eastAsia="Times New Roman"/>
                <w:color w:val="00000A"/>
                <w:sz w:val="15"/>
                <w:szCs w:val="15"/>
                <w:lang w:val="en-GB" w:eastAsia="en-GB"/>
              </w:rPr>
              <w:t>°</w:t>
            </w:r>
          </w:p>
        </w:tc>
        <w:tc>
          <w:tcPr>
            <w:tcW w:w="1446" w:type="dxa"/>
            <w:vMerge/>
            <w:tcBorders>
              <w:left w:val="nil"/>
              <w:bottom w:val="single" w:sz="12" w:space="0" w:color="auto"/>
              <w:right w:val="nil"/>
            </w:tcBorders>
            <w:vAlign w:val="center"/>
          </w:tcPr>
          <w:p w14:paraId="3E79AEEF" w14:textId="77777777" w:rsidR="00664B64" w:rsidRDefault="00664B64" w:rsidP="00664B64">
            <w:pPr>
              <w:snapToGrid/>
              <w:spacing w:before="0" w:after="0" w:line="240" w:lineRule="auto"/>
              <w:ind w:firstLine="0"/>
              <w:jc w:val="center"/>
              <w:rPr>
                <w:rFonts w:eastAsia="Times New Roman"/>
                <w:color w:val="00000A"/>
                <w:sz w:val="15"/>
                <w:szCs w:val="15"/>
                <w:lang w:val="en-GB" w:eastAsia="en-GB"/>
              </w:rPr>
            </w:pPr>
          </w:p>
        </w:tc>
      </w:tr>
    </w:tbl>
    <w:p w14:paraId="41FABB72" w14:textId="6BADD30B" w:rsidR="006F2C45" w:rsidRDefault="006F2C45">
      <w:pPr>
        <w:spacing w:line="360" w:lineRule="auto"/>
        <w:ind w:firstLine="0"/>
        <w:jc w:val="center"/>
      </w:pPr>
    </w:p>
    <w:p w14:paraId="43EC5526" w14:textId="10AAFD54" w:rsidR="003010F1" w:rsidRDefault="003010F1" w:rsidP="003010F1">
      <w:pPr>
        <w:spacing w:line="360" w:lineRule="auto"/>
        <w:ind w:firstLineChars="200" w:firstLine="480"/>
        <w:jc w:val="both"/>
        <w:rPr>
          <w:lang w:eastAsia="zh-CN"/>
        </w:rPr>
      </w:pPr>
      <w:r w:rsidRPr="003010F1">
        <w:rPr>
          <w:lang w:eastAsia="zh-CN"/>
        </w:rPr>
        <w:t>We first evaluate the abilities of LR-GCMs and HR-GCMs to simulate the spatial distribution of BVs during ONDJFM</w:t>
      </w:r>
      <w:r>
        <w:rPr>
          <w:lang w:eastAsia="zh-CN"/>
        </w:rPr>
        <w:t xml:space="preserve"> </w:t>
      </w:r>
      <w:r>
        <w:rPr>
          <w:rFonts w:hint="eastAsia"/>
          <w:lang w:eastAsia="zh-CN"/>
        </w:rPr>
        <w:t>through</w:t>
      </w:r>
      <w:r>
        <w:rPr>
          <w:lang w:eastAsia="zh-CN"/>
        </w:rPr>
        <w:t xml:space="preserve"> their comparison with those detected in the ERA5 reanalysis dataset during the historical period 1979-1990</w:t>
      </w:r>
      <w:r w:rsidRPr="003010F1">
        <w:rPr>
          <w:lang w:eastAsia="zh-CN"/>
        </w:rPr>
        <w:t xml:space="preserve">. Fig. S1 shows the genesis, track, and lysis densities calculated on the model grids by counting the number of the genesis, track, and lysis feature points within a 3.5° geodesic radius from the detected BV </w:t>
      </w:r>
      <w:proofErr w:type="spellStart"/>
      <w:r w:rsidRPr="003010F1">
        <w:rPr>
          <w:lang w:eastAsia="zh-CN"/>
        </w:rPr>
        <w:t>centres</w:t>
      </w:r>
      <w:proofErr w:type="spellEnd"/>
      <w:r w:rsidRPr="003010F1">
        <w:rPr>
          <w:lang w:eastAsia="zh-CN"/>
        </w:rPr>
        <w:t xml:space="preserve">. The ensemble mean of LR-GCMs (Fig. S1d-f) shows a pronounced underestimation of the occurrences of BVs compared to ERA5 with lower maximum genesis, </w:t>
      </w:r>
      <w:proofErr w:type="gramStart"/>
      <w:r w:rsidRPr="003010F1">
        <w:rPr>
          <w:lang w:eastAsia="zh-CN"/>
        </w:rPr>
        <w:t>track</w:t>
      </w:r>
      <w:proofErr w:type="gramEnd"/>
      <w:r w:rsidRPr="003010F1">
        <w:rPr>
          <w:lang w:eastAsia="zh-CN"/>
        </w:rPr>
        <w:t xml:space="preserve"> and lysis densities, which are only about 50% of those in ERA5. In contrast, the ensemble mean of HR-GCMs presents more reasonable density distributions with the maximum densities closer to those in ERA5, although underestimations (by around 10-15%) still exist.</w:t>
      </w:r>
    </w:p>
    <w:p w14:paraId="6002154F" w14:textId="5767CB3A" w:rsidR="00664B64" w:rsidRDefault="00221658">
      <w:pPr>
        <w:spacing w:line="360" w:lineRule="auto"/>
        <w:ind w:firstLine="0"/>
        <w:jc w:val="center"/>
      </w:pPr>
      <w:r>
        <w:rPr>
          <w:noProof/>
        </w:rPr>
        <w:drawing>
          <wp:inline distT="0" distB="0" distL="0" distR="0" wp14:anchorId="62CAEDA6" wp14:editId="39771FD7">
            <wp:extent cx="5267325" cy="37052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7325" cy="3705225"/>
                    </a:xfrm>
                    <a:prstGeom prst="rect">
                      <a:avLst/>
                    </a:prstGeom>
                    <a:noFill/>
                    <a:ln>
                      <a:noFill/>
                    </a:ln>
                  </pic:spPr>
                </pic:pic>
              </a:graphicData>
            </a:graphic>
          </wp:inline>
        </w:drawing>
      </w:r>
    </w:p>
    <w:p w14:paraId="49F7AAA4" w14:textId="3CB8EAFC" w:rsidR="006D4FF5" w:rsidRDefault="0044262A" w:rsidP="00CE3AE6">
      <w:pPr>
        <w:spacing w:line="360" w:lineRule="auto"/>
        <w:ind w:firstLine="0"/>
        <w:jc w:val="both"/>
        <w:rPr>
          <w:bCs/>
          <w:sz w:val="22"/>
          <w:szCs w:val="18"/>
          <w:lang w:val="en-GB"/>
        </w:rPr>
      </w:pPr>
      <w:r>
        <w:rPr>
          <w:bCs/>
          <w:sz w:val="22"/>
          <w:szCs w:val="18"/>
          <w:lang w:val="en-GB"/>
        </w:rPr>
        <w:t>Fig. S1.</w:t>
      </w:r>
      <w:r w:rsidR="00BD55A8">
        <w:rPr>
          <w:bCs/>
          <w:sz w:val="22"/>
          <w:szCs w:val="18"/>
          <w:lang w:val="en-GB"/>
        </w:rPr>
        <w:t xml:space="preserve"> H</w:t>
      </w:r>
      <w:r w:rsidR="00BD55A8">
        <w:rPr>
          <w:lang w:val="en-GB"/>
        </w:rPr>
        <w:t xml:space="preserve">istorical </w:t>
      </w:r>
      <w:r w:rsidR="00BD55A8">
        <w:rPr>
          <w:bCs/>
          <w:lang w:val="en-GB"/>
        </w:rPr>
        <w:t xml:space="preserve">densities </w:t>
      </w:r>
      <w:r w:rsidR="00BD55A8">
        <w:rPr>
          <w:bCs/>
          <w:lang w:val="en-GB" w:eastAsia="zh-CN"/>
        </w:rPr>
        <w:t xml:space="preserve">during </w:t>
      </w:r>
      <w:r w:rsidR="00BD55A8">
        <w:rPr>
          <w:bCs/>
          <w:lang w:val="en-GB"/>
        </w:rPr>
        <w:t>ONDJFM</w:t>
      </w:r>
      <w:r w:rsidR="00BD55A8">
        <w:rPr>
          <w:rFonts w:hint="eastAsia"/>
          <w:bCs/>
          <w:lang w:val="en-GB" w:eastAsia="zh-CN"/>
        </w:rPr>
        <w:t xml:space="preserve"> (</w:t>
      </w:r>
      <w:r w:rsidR="00BD55A8">
        <w:rPr>
          <w:bCs/>
          <w:lang w:val="en-GB" w:eastAsia="zh-CN"/>
        </w:rPr>
        <w:t xml:space="preserve">unit: </w:t>
      </w:r>
      <w:r w:rsidR="00BD55A8" w:rsidRPr="00E1046F">
        <w:rPr>
          <w:bCs/>
          <w:lang w:val="en-GB" w:eastAsia="zh-CN"/>
        </w:rPr>
        <w:t>number per season per 3.5° spherical area</w:t>
      </w:r>
      <w:r w:rsidR="00BD55A8">
        <w:rPr>
          <w:bCs/>
          <w:lang w:val="en-GB" w:eastAsia="zh-CN"/>
        </w:rPr>
        <w:t xml:space="preserve">) </w:t>
      </w:r>
      <w:r w:rsidR="00BD55A8">
        <w:rPr>
          <w:bCs/>
          <w:lang w:val="en-GB"/>
        </w:rPr>
        <w:t>for</w:t>
      </w:r>
      <w:r w:rsidR="00BD55A8" w:rsidRPr="007C43B9">
        <w:rPr>
          <w:bCs/>
          <w:lang w:val="en-GB"/>
        </w:rPr>
        <w:t xml:space="preserve"> </w:t>
      </w:r>
      <w:r w:rsidR="00BD55A8">
        <w:rPr>
          <w:bCs/>
          <w:lang w:val="en-GB"/>
        </w:rPr>
        <w:t xml:space="preserve">BV geneses, </w:t>
      </w:r>
      <w:proofErr w:type="gramStart"/>
      <w:r w:rsidR="00BD55A8">
        <w:rPr>
          <w:bCs/>
          <w:lang w:val="en-GB"/>
        </w:rPr>
        <w:t>tracks</w:t>
      </w:r>
      <w:proofErr w:type="gramEnd"/>
      <w:r w:rsidR="00BD55A8">
        <w:rPr>
          <w:bCs/>
          <w:lang w:val="en-GB"/>
        </w:rPr>
        <w:t xml:space="preserve"> and lyses from ERA5 (a-c) and the ensemble mean of LR-GCMs (d-f) and HR-GCMs (g-</w:t>
      </w:r>
      <w:proofErr w:type="spellStart"/>
      <w:r w:rsidR="00BD55A8">
        <w:rPr>
          <w:bCs/>
          <w:lang w:val="en-GB"/>
        </w:rPr>
        <w:t>i</w:t>
      </w:r>
      <w:proofErr w:type="spellEnd"/>
      <w:r w:rsidR="00BD55A8">
        <w:rPr>
          <w:bCs/>
          <w:lang w:val="en-GB"/>
        </w:rPr>
        <w:t>).</w:t>
      </w:r>
    </w:p>
    <w:p w14:paraId="3D5A405A" w14:textId="6C04A56A" w:rsidR="006D4FF5" w:rsidRDefault="006D4FF5">
      <w:pPr>
        <w:spacing w:line="360" w:lineRule="auto"/>
      </w:pPr>
    </w:p>
    <w:p w14:paraId="33A237AE" w14:textId="38636CBC" w:rsidR="00E60705" w:rsidRDefault="004D158A" w:rsidP="004840AF">
      <w:pPr>
        <w:spacing w:line="360" w:lineRule="auto"/>
        <w:ind w:firstLineChars="200" w:firstLine="480"/>
        <w:jc w:val="both"/>
        <w:rPr>
          <w:lang w:eastAsia="zh-CN"/>
        </w:rPr>
      </w:pPr>
      <w:r w:rsidRPr="004D158A">
        <w:rPr>
          <w:lang w:eastAsia="zh-CN"/>
        </w:rPr>
        <w:t>As the secondary circulation of BVs, i.e. the associated radial and vertical motions embedded within the primary largescale circulation, are usually observed from the surface to 700-hPa</w:t>
      </w:r>
      <w:r w:rsidR="00B1732F" w:rsidRPr="00B1732F">
        <w:rPr>
          <w:vertAlign w:val="superscript"/>
          <w:lang w:eastAsia="zh-CN"/>
        </w:rPr>
        <w:fldChar w:fldCharType="begin"/>
      </w:r>
      <w:r w:rsidR="00B1732F" w:rsidRPr="00B1732F">
        <w:rPr>
          <w:vertAlign w:val="superscript"/>
          <w:lang w:eastAsia="zh-CN"/>
        </w:rPr>
        <w:instrText xml:space="preserve"> REF _Ref103608565 \r \h  \* MERGEFORMAT </w:instrText>
      </w:r>
      <w:r w:rsidR="00B1732F" w:rsidRPr="00B1732F">
        <w:rPr>
          <w:vertAlign w:val="superscript"/>
          <w:lang w:eastAsia="zh-CN"/>
        </w:rPr>
      </w:r>
      <w:r w:rsidR="00B1732F" w:rsidRPr="00B1732F">
        <w:rPr>
          <w:vertAlign w:val="superscript"/>
          <w:lang w:eastAsia="zh-CN"/>
        </w:rPr>
        <w:fldChar w:fldCharType="separate"/>
      </w:r>
      <w:r w:rsidR="00B1732F" w:rsidRPr="00B1732F">
        <w:rPr>
          <w:vertAlign w:val="superscript"/>
          <w:lang w:eastAsia="zh-CN"/>
        </w:rPr>
        <w:t>9</w:t>
      </w:r>
      <w:r w:rsidR="00B1732F" w:rsidRPr="00B1732F">
        <w:rPr>
          <w:vertAlign w:val="superscript"/>
          <w:lang w:eastAsia="zh-CN"/>
        </w:rPr>
        <w:fldChar w:fldCharType="end"/>
      </w:r>
      <w:r w:rsidR="00B1732F" w:rsidRPr="00B1732F">
        <w:rPr>
          <w:vertAlign w:val="superscript"/>
          <w:lang w:eastAsia="zh-CN"/>
        </w:rPr>
        <w:t>,</w:t>
      </w:r>
      <w:r w:rsidR="00B1732F" w:rsidRPr="00B1732F">
        <w:rPr>
          <w:vertAlign w:val="superscript"/>
          <w:lang w:eastAsia="zh-CN"/>
        </w:rPr>
        <w:fldChar w:fldCharType="begin"/>
      </w:r>
      <w:r w:rsidR="00B1732F" w:rsidRPr="00B1732F">
        <w:rPr>
          <w:vertAlign w:val="superscript"/>
          <w:lang w:eastAsia="zh-CN"/>
        </w:rPr>
        <w:instrText xml:space="preserve"> REF _Ref103608566 \r \h  \* MERGEFORMAT </w:instrText>
      </w:r>
      <w:r w:rsidR="00B1732F" w:rsidRPr="00B1732F">
        <w:rPr>
          <w:vertAlign w:val="superscript"/>
          <w:lang w:eastAsia="zh-CN"/>
        </w:rPr>
      </w:r>
      <w:r w:rsidR="00B1732F" w:rsidRPr="00B1732F">
        <w:rPr>
          <w:vertAlign w:val="superscript"/>
          <w:lang w:eastAsia="zh-CN"/>
        </w:rPr>
        <w:fldChar w:fldCharType="separate"/>
      </w:r>
      <w:r w:rsidR="00B1732F" w:rsidRPr="00B1732F">
        <w:rPr>
          <w:vertAlign w:val="superscript"/>
          <w:lang w:eastAsia="zh-CN"/>
        </w:rPr>
        <w:t>10</w:t>
      </w:r>
      <w:r w:rsidR="00B1732F" w:rsidRPr="00B1732F">
        <w:rPr>
          <w:vertAlign w:val="superscript"/>
          <w:lang w:eastAsia="zh-CN"/>
        </w:rPr>
        <w:fldChar w:fldCharType="end"/>
      </w:r>
      <w:r w:rsidRPr="004D158A">
        <w:rPr>
          <w:lang w:eastAsia="zh-CN"/>
        </w:rPr>
        <w:t xml:space="preserve">, the lower-tropospheric horizontal structures of BVs are </w:t>
      </w:r>
      <w:proofErr w:type="spellStart"/>
      <w:r w:rsidRPr="004D158A">
        <w:rPr>
          <w:lang w:eastAsia="zh-CN"/>
        </w:rPr>
        <w:t>analysed</w:t>
      </w:r>
      <w:proofErr w:type="spellEnd"/>
      <w:r w:rsidRPr="004D158A">
        <w:rPr>
          <w:lang w:eastAsia="zh-CN"/>
        </w:rPr>
        <w:t xml:space="preserve"> by computing the composite fields near the </w:t>
      </w:r>
      <w:proofErr w:type="spellStart"/>
      <w:r w:rsidRPr="004D158A">
        <w:rPr>
          <w:lang w:eastAsia="zh-CN"/>
        </w:rPr>
        <w:t>centres</w:t>
      </w:r>
      <w:proofErr w:type="spellEnd"/>
      <w:r w:rsidRPr="004D158A">
        <w:rPr>
          <w:lang w:eastAsia="zh-CN"/>
        </w:rPr>
        <w:t xml:space="preserve"> of the selected 50 most intense BVs (ranked by the 50 greatest records of the maximum central relative vorticity). Fig. S2 show</w:t>
      </w:r>
      <w:r w:rsidR="00E12633">
        <w:rPr>
          <w:lang w:eastAsia="zh-CN"/>
        </w:rPr>
        <w:t>s</w:t>
      </w:r>
      <w:r w:rsidRPr="004D158A">
        <w:rPr>
          <w:lang w:eastAsia="zh-CN"/>
        </w:rPr>
        <w:t xml:space="preserve"> the composite structures in terms of the 850-hPa wind fields (Fig. S2a, e, </w:t>
      </w:r>
      <w:proofErr w:type="spellStart"/>
      <w:r w:rsidRPr="004D158A">
        <w:rPr>
          <w:lang w:eastAsia="zh-CN"/>
        </w:rPr>
        <w:t>i</w:t>
      </w:r>
      <w:proofErr w:type="spellEnd"/>
      <w:r w:rsidRPr="004D158A">
        <w:rPr>
          <w:lang w:eastAsia="zh-CN"/>
        </w:rPr>
        <w:t xml:space="preserve">), MSLP and its absolute horizontal gradient (Fig. S2b, f, j), the divergence of horizontal winds (Fig. S2c, g, k) and precipitation (Fig. S2d, h, l). Compared to ERA5, the ensemble mean of LR-GCMs represents a </w:t>
      </w:r>
      <w:r w:rsidR="00E12633">
        <w:rPr>
          <w:lang w:eastAsia="zh-CN"/>
        </w:rPr>
        <w:t>s</w:t>
      </w:r>
      <w:r w:rsidRPr="004D158A">
        <w:rPr>
          <w:lang w:eastAsia="zh-CN"/>
        </w:rPr>
        <w:t xml:space="preserve">lightly stronger (by about 1 m/s) maximum wind speed at 850-hPa near the </w:t>
      </w:r>
      <w:proofErr w:type="spellStart"/>
      <w:r w:rsidRPr="004D158A">
        <w:rPr>
          <w:lang w:eastAsia="zh-CN"/>
        </w:rPr>
        <w:t>centres</w:t>
      </w:r>
      <w:proofErr w:type="spellEnd"/>
      <w:r w:rsidRPr="004D158A">
        <w:rPr>
          <w:lang w:eastAsia="zh-CN"/>
        </w:rPr>
        <w:t xml:space="preserve"> of the 50th most intense BVs. Due to the relatively coarse horizontal resolutions, LR-GCMs simulate a larger storm eye (central area with wind speeds &lt; 5 m/s) and a poorly resolved near-</w:t>
      </w:r>
      <w:proofErr w:type="spellStart"/>
      <w:r w:rsidRPr="004D158A">
        <w:rPr>
          <w:lang w:eastAsia="zh-CN"/>
        </w:rPr>
        <w:t>centre</w:t>
      </w:r>
      <w:proofErr w:type="spellEnd"/>
      <w:r w:rsidRPr="004D158A">
        <w:rPr>
          <w:lang w:eastAsia="zh-CN"/>
        </w:rPr>
        <w:t xml:space="preserve"> strong winds (with </w:t>
      </w:r>
      <w:proofErr w:type="gramStart"/>
      <w:r w:rsidRPr="004D158A">
        <w:rPr>
          <w:lang w:eastAsia="zh-CN"/>
        </w:rPr>
        <w:t>a distance of &gt;</w:t>
      </w:r>
      <w:proofErr w:type="gramEnd"/>
      <w:r w:rsidRPr="004D158A">
        <w:rPr>
          <w:lang w:eastAsia="zh-CN"/>
        </w:rPr>
        <w:t xml:space="preserve"> 4° to the </w:t>
      </w:r>
      <w:proofErr w:type="spellStart"/>
      <w:r w:rsidRPr="004D158A">
        <w:rPr>
          <w:lang w:eastAsia="zh-CN"/>
        </w:rPr>
        <w:t>centre</w:t>
      </w:r>
      <w:proofErr w:type="spellEnd"/>
      <w:r w:rsidRPr="004D158A">
        <w:rPr>
          <w:lang w:eastAsia="zh-CN"/>
        </w:rPr>
        <w:t>) compared to ERA5 (maximum wind distance of about 2-4°). In addition, a weaker near-</w:t>
      </w:r>
      <w:proofErr w:type="spellStart"/>
      <w:r w:rsidRPr="004D158A">
        <w:rPr>
          <w:lang w:eastAsia="zh-CN"/>
        </w:rPr>
        <w:t>centre</w:t>
      </w:r>
      <w:proofErr w:type="spellEnd"/>
      <w:r w:rsidRPr="004D158A">
        <w:rPr>
          <w:lang w:eastAsia="zh-CN"/>
        </w:rPr>
        <w:t xml:space="preserve"> convergence is also seen, with a possible association with the relatively high grid spaces, which results in a weaker near-</w:t>
      </w:r>
      <w:proofErr w:type="spellStart"/>
      <w:r w:rsidRPr="004D158A">
        <w:rPr>
          <w:lang w:eastAsia="zh-CN"/>
        </w:rPr>
        <w:t>centre</w:t>
      </w:r>
      <w:proofErr w:type="spellEnd"/>
      <w:r w:rsidRPr="004D158A">
        <w:rPr>
          <w:lang w:eastAsia="zh-CN"/>
        </w:rPr>
        <w:t xml:space="preserve"> maximum precipitation intensity of about 76% of that in ERA5. Improved representation of the horizontal composite structures of BVs is seen for the ensemble mean of HR-GCMs. However, there are noticeable biases for HR-GCMs compared to ERA5, including the overestimation of the near-</w:t>
      </w:r>
      <w:proofErr w:type="spellStart"/>
      <w:r w:rsidRPr="004D158A">
        <w:rPr>
          <w:lang w:eastAsia="zh-CN"/>
        </w:rPr>
        <w:t>centre</w:t>
      </w:r>
      <w:proofErr w:type="spellEnd"/>
      <w:r w:rsidRPr="004D158A">
        <w:rPr>
          <w:lang w:eastAsia="zh-CN"/>
        </w:rPr>
        <w:t xml:space="preserve"> MSLP gradients and the smaller near-</w:t>
      </w:r>
      <w:proofErr w:type="spellStart"/>
      <w:r w:rsidRPr="004D158A">
        <w:rPr>
          <w:lang w:eastAsia="zh-CN"/>
        </w:rPr>
        <w:t>centre</w:t>
      </w:r>
      <w:proofErr w:type="spellEnd"/>
      <w:r w:rsidRPr="004D158A">
        <w:rPr>
          <w:lang w:eastAsia="zh-CN"/>
        </w:rPr>
        <w:t xml:space="preserve"> convergence zone leading to overly concentrated precipitation near the simulated BV </w:t>
      </w:r>
      <w:proofErr w:type="spellStart"/>
      <w:r w:rsidRPr="004D158A">
        <w:rPr>
          <w:lang w:eastAsia="zh-CN"/>
        </w:rPr>
        <w:t>centres</w:t>
      </w:r>
      <w:proofErr w:type="spellEnd"/>
      <w:r>
        <w:rPr>
          <w:lang w:eastAsia="zh-CN"/>
        </w:rPr>
        <w:t>.</w:t>
      </w:r>
    </w:p>
    <w:p w14:paraId="4A639051" w14:textId="129F1C3F" w:rsidR="006D4FF5" w:rsidRDefault="003010F1" w:rsidP="004D158A">
      <w:pPr>
        <w:spacing w:line="360" w:lineRule="auto"/>
        <w:ind w:firstLine="0"/>
        <w:jc w:val="both"/>
      </w:pPr>
      <w:r w:rsidRPr="003010F1">
        <w:rPr>
          <w:lang w:eastAsia="zh-CN"/>
        </w:rPr>
        <w:t xml:space="preserve"> </w:t>
      </w:r>
      <w:r w:rsidR="00221658">
        <w:rPr>
          <w:noProof/>
        </w:rPr>
        <w:drawing>
          <wp:inline distT="0" distB="0" distL="0" distR="0" wp14:anchorId="2E48DD41" wp14:editId="4E3AC441">
            <wp:extent cx="4964553" cy="3806456"/>
            <wp:effectExtent l="0" t="0" r="762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4622" cy="3814177"/>
                    </a:xfrm>
                    <a:prstGeom prst="rect">
                      <a:avLst/>
                    </a:prstGeom>
                    <a:noFill/>
                    <a:ln>
                      <a:noFill/>
                    </a:ln>
                  </pic:spPr>
                </pic:pic>
              </a:graphicData>
            </a:graphic>
          </wp:inline>
        </w:drawing>
      </w:r>
    </w:p>
    <w:p w14:paraId="68A4422C" w14:textId="4A9965DE" w:rsidR="006D4FF5" w:rsidRDefault="0044262A" w:rsidP="00CE3AE6">
      <w:pPr>
        <w:spacing w:line="360" w:lineRule="auto"/>
        <w:ind w:firstLine="0"/>
        <w:jc w:val="both"/>
        <w:rPr>
          <w:bCs/>
          <w:sz w:val="22"/>
          <w:szCs w:val="18"/>
          <w:lang w:val="en-GB"/>
        </w:rPr>
      </w:pPr>
      <w:r>
        <w:rPr>
          <w:sz w:val="22"/>
          <w:szCs w:val="18"/>
        </w:rPr>
        <w:t xml:space="preserve">Fig. S2. </w:t>
      </w:r>
      <w:r w:rsidR="00BD55A8" w:rsidRPr="00BD55A8">
        <w:rPr>
          <w:bCs/>
          <w:sz w:val="22"/>
          <w:szCs w:val="18"/>
          <w:lang w:val="en-GB"/>
        </w:rPr>
        <w:t xml:space="preserve">Centre-relative </w:t>
      </w:r>
      <w:r w:rsidR="00363B71">
        <w:rPr>
          <w:bCs/>
          <w:sz w:val="22"/>
          <w:szCs w:val="18"/>
          <w:lang w:val="en-GB"/>
        </w:rPr>
        <w:t xml:space="preserve">horizontal </w:t>
      </w:r>
      <w:r w:rsidR="00BD55A8" w:rsidRPr="00BD55A8">
        <w:rPr>
          <w:bCs/>
          <w:sz w:val="22"/>
          <w:szCs w:val="18"/>
          <w:lang w:val="en-GB"/>
        </w:rPr>
        <w:t xml:space="preserve">composites averaged over </w:t>
      </w:r>
      <w:r w:rsidR="00363B71">
        <w:rPr>
          <w:bCs/>
          <w:sz w:val="22"/>
          <w:szCs w:val="18"/>
          <w:lang w:val="en-GB"/>
        </w:rPr>
        <w:t xml:space="preserve">the </w:t>
      </w:r>
      <w:r w:rsidR="00BD55A8" w:rsidRPr="00BD55A8">
        <w:rPr>
          <w:bCs/>
          <w:sz w:val="22"/>
          <w:szCs w:val="18"/>
          <w:lang w:val="en-GB"/>
        </w:rPr>
        <w:t>50 most intense BVs</w:t>
      </w:r>
      <w:r w:rsidR="00BD55A8">
        <w:rPr>
          <w:bCs/>
          <w:sz w:val="22"/>
          <w:szCs w:val="18"/>
          <w:lang w:val="en-GB"/>
        </w:rPr>
        <w:t xml:space="preserve"> </w:t>
      </w:r>
      <w:r w:rsidR="00BF0E75">
        <w:rPr>
          <w:bCs/>
          <w:sz w:val="22"/>
          <w:szCs w:val="18"/>
          <w:lang w:val="en-GB"/>
        </w:rPr>
        <w:t xml:space="preserve">for DJF </w:t>
      </w:r>
      <w:r w:rsidR="00363B71">
        <w:rPr>
          <w:bCs/>
          <w:sz w:val="22"/>
          <w:szCs w:val="18"/>
          <w:lang w:val="en-GB"/>
        </w:rPr>
        <w:t>during</w:t>
      </w:r>
      <w:r w:rsidR="00BD55A8" w:rsidRPr="00BD55A8">
        <w:rPr>
          <w:bCs/>
          <w:sz w:val="22"/>
          <w:szCs w:val="18"/>
          <w:lang w:val="en-GB"/>
        </w:rPr>
        <w:t xml:space="preserve"> the historical period (1979–1999</w:t>
      </w:r>
      <w:r w:rsidR="00BD55A8">
        <w:rPr>
          <w:bCs/>
          <w:sz w:val="22"/>
          <w:szCs w:val="18"/>
          <w:lang w:val="en-GB"/>
        </w:rPr>
        <w:t xml:space="preserve">) </w:t>
      </w:r>
      <w:r w:rsidR="00BD55A8" w:rsidRPr="00BD55A8">
        <w:rPr>
          <w:bCs/>
          <w:sz w:val="22"/>
          <w:szCs w:val="18"/>
          <w:lang w:val="en-GB"/>
        </w:rPr>
        <w:t>in the</w:t>
      </w:r>
      <w:r w:rsidR="00BD55A8">
        <w:rPr>
          <w:bCs/>
          <w:sz w:val="22"/>
          <w:szCs w:val="18"/>
          <w:lang w:val="en-GB"/>
        </w:rPr>
        <w:t xml:space="preserve"> </w:t>
      </w:r>
      <w:r w:rsidR="00BD55A8" w:rsidRPr="00BD55A8">
        <w:rPr>
          <w:bCs/>
          <w:sz w:val="22"/>
          <w:szCs w:val="18"/>
          <w:lang w:val="en-GB"/>
        </w:rPr>
        <w:t>time steps corresponding to the highest central relative vorticity at 850-hPa during the</w:t>
      </w:r>
      <w:r w:rsidR="00BD55A8">
        <w:rPr>
          <w:bCs/>
          <w:sz w:val="22"/>
          <w:szCs w:val="18"/>
          <w:lang w:val="en-GB"/>
        </w:rPr>
        <w:t>ir</w:t>
      </w:r>
      <w:r w:rsidR="00BD55A8" w:rsidRPr="00BD55A8">
        <w:rPr>
          <w:bCs/>
          <w:sz w:val="22"/>
          <w:szCs w:val="18"/>
          <w:lang w:val="en-GB"/>
        </w:rPr>
        <w:t xml:space="preserve"> lifetime</w:t>
      </w:r>
      <w:r w:rsidR="00BD55A8">
        <w:rPr>
          <w:bCs/>
          <w:sz w:val="22"/>
          <w:szCs w:val="18"/>
          <w:lang w:val="en-GB"/>
        </w:rPr>
        <w:t xml:space="preserve">s, including 850-hPa winds (a, e, </w:t>
      </w:r>
      <w:proofErr w:type="spellStart"/>
      <w:r w:rsidR="00BD55A8">
        <w:rPr>
          <w:bCs/>
          <w:sz w:val="22"/>
          <w:szCs w:val="18"/>
          <w:lang w:val="en-GB"/>
        </w:rPr>
        <w:t>i</w:t>
      </w:r>
      <w:proofErr w:type="spellEnd"/>
      <w:r w:rsidR="00BD55A8">
        <w:rPr>
          <w:bCs/>
          <w:sz w:val="22"/>
          <w:szCs w:val="18"/>
          <w:lang w:val="en-GB"/>
        </w:rPr>
        <w:t xml:space="preserve">), MSLP (black contours) and </w:t>
      </w:r>
      <w:r w:rsidR="00363B71">
        <w:rPr>
          <w:bCs/>
          <w:sz w:val="22"/>
          <w:szCs w:val="18"/>
          <w:lang w:val="en-GB"/>
        </w:rPr>
        <w:t xml:space="preserve">the </w:t>
      </w:r>
      <w:r w:rsidR="00BD55A8">
        <w:rPr>
          <w:bCs/>
          <w:sz w:val="22"/>
          <w:szCs w:val="18"/>
          <w:lang w:val="en-GB"/>
        </w:rPr>
        <w:t>absolute horizontal MSLP gradient (</w:t>
      </w:r>
      <w:r w:rsidR="00363B71">
        <w:rPr>
          <w:bCs/>
          <w:sz w:val="22"/>
          <w:szCs w:val="18"/>
          <w:lang w:val="en-GB"/>
        </w:rPr>
        <w:t>b, f, j</w:t>
      </w:r>
      <w:r w:rsidR="00BD55A8">
        <w:rPr>
          <w:bCs/>
          <w:sz w:val="22"/>
          <w:szCs w:val="18"/>
          <w:lang w:val="en-GB"/>
        </w:rPr>
        <w:t>)</w:t>
      </w:r>
      <w:r w:rsidR="00363B71">
        <w:rPr>
          <w:bCs/>
          <w:sz w:val="22"/>
          <w:szCs w:val="18"/>
          <w:lang w:val="en-GB"/>
        </w:rPr>
        <w:t>, 850-hPa divergence (c, g, k) and precipitation (d, h, l).</w:t>
      </w:r>
    </w:p>
    <w:p w14:paraId="6DB41FB0" w14:textId="0AC53E02" w:rsidR="005661FF" w:rsidRDefault="005661FF" w:rsidP="005661FF">
      <w:pPr>
        <w:spacing w:line="360" w:lineRule="auto"/>
        <w:ind w:firstLineChars="100" w:firstLine="220"/>
        <w:jc w:val="both"/>
        <w:rPr>
          <w:sz w:val="22"/>
          <w:szCs w:val="18"/>
          <w:lang w:eastAsia="zh-CN"/>
        </w:rPr>
      </w:pPr>
      <w:r w:rsidRPr="005661FF">
        <w:rPr>
          <w:sz w:val="22"/>
          <w:szCs w:val="18"/>
          <w:lang w:eastAsia="zh-CN"/>
        </w:rPr>
        <w:t>There are</w:t>
      </w:r>
      <w:r w:rsidR="00143D1F">
        <w:rPr>
          <w:sz w:val="22"/>
          <w:szCs w:val="18"/>
          <w:lang w:eastAsia="zh-CN"/>
        </w:rPr>
        <w:t xml:space="preserve"> also</w:t>
      </w:r>
      <w:r w:rsidRPr="005661FF">
        <w:rPr>
          <w:sz w:val="22"/>
          <w:szCs w:val="18"/>
          <w:lang w:eastAsia="zh-CN"/>
        </w:rPr>
        <w:t xml:space="preserve"> improvements in the simulation of BV-associated precipitation presented by HR-GCMs compared with LR-GCMs. First, </w:t>
      </w:r>
      <w:r>
        <w:rPr>
          <w:sz w:val="22"/>
          <w:szCs w:val="18"/>
          <w:lang w:eastAsia="zh-CN"/>
        </w:rPr>
        <w:t>compared</w:t>
      </w:r>
      <w:r w:rsidRPr="005661FF">
        <w:rPr>
          <w:sz w:val="22"/>
          <w:szCs w:val="18"/>
          <w:lang w:eastAsia="zh-CN"/>
        </w:rPr>
        <w:t xml:space="preserve"> to ERA5 (Fig. S3b), HR-GCMs (Fig. S3j) reasonabl</w:t>
      </w:r>
      <w:r>
        <w:rPr>
          <w:sz w:val="22"/>
          <w:szCs w:val="18"/>
          <w:lang w:eastAsia="zh-CN"/>
        </w:rPr>
        <w:t>y</w:t>
      </w:r>
      <w:r w:rsidRPr="005661FF">
        <w:rPr>
          <w:sz w:val="22"/>
          <w:szCs w:val="18"/>
          <w:lang w:eastAsia="zh-CN"/>
        </w:rPr>
        <w:t xml:space="preserve"> simulate </w:t>
      </w:r>
      <w:r w:rsidR="00143D1F">
        <w:rPr>
          <w:sz w:val="22"/>
          <w:szCs w:val="18"/>
          <w:lang w:eastAsia="zh-CN"/>
        </w:rPr>
        <w:t>the</w:t>
      </w:r>
      <w:r w:rsidRPr="005661FF">
        <w:rPr>
          <w:sz w:val="22"/>
          <w:szCs w:val="18"/>
          <w:lang w:eastAsia="zh-CN"/>
        </w:rPr>
        <w:t xml:space="preserve"> maximum accumulation of BV-associated precipitation on the northwestern coast of Borneo, though overestimations are found on the east coast of Peninsular Malaysia and the precipitation affecting Borneo is still underestimated. In contrast, LR-GCMs (Fig. S3</w:t>
      </w:r>
      <w:r>
        <w:rPr>
          <w:sz w:val="22"/>
          <w:szCs w:val="18"/>
          <w:lang w:eastAsia="zh-CN"/>
        </w:rPr>
        <w:t>f</w:t>
      </w:r>
      <w:r w:rsidRPr="005661FF">
        <w:rPr>
          <w:sz w:val="22"/>
          <w:szCs w:val="18"/>
          <w:lang w:eastAsia="zh-CN"/>
        </w:rPr>
        <w:t>) show pronounced underestimations of the BV-associated precipitation</w:t>
      </w:r>
      <w:r>
        <w:rPr>
          <w:sz w:val="22"/>
          <w:szCs w:val="18"/>
          <w:lang w:eastAsia="zh-CN"/>
        </w:rPr>
        <w:t xml:space="preserve"> amount</w:t>
      </w:r>
      <w:r w:rsidRPr="005661FF">
        <w:rPr>
          <w:sz w:val="22"/>
          <w:szCs w:val="18"/>
          <w:lang w:eastAsia="zh-CN"/>
        </w:rPr>
        <w:t>. However, both LR-GCMs and HR-GCMs show apparent overestimation of the mean precipitation intensity of BVs (Fig. S3c, g, k), which is possibly related to their lower fractions for the relatively weak BVs with respect to all BVs than that in ERA5 (Fig. S8). Also, in contrast to ERA5 and LR-GCMs, HR-GCMs capture a higher contribution of BVs to the total precipitation during ONDJFM (Fig. S3d, h, l). This may be due to the considerable underestimation of total precipitation in all the models</w:t>
      </w:r>
      <w:r w:rsidR="00E12633">
        <w:rPr>
          <w:sz w:val="22"/>
          <w:szCs w:val="18"/>
          <w:lang w:eastAsia="zh-CN"/>
        </w:rPr>
        <w:t xml:space="preserve"> considered</w:t>
      </w:r>
      <w:r w:rsidRPr="005661FF">
        <w:rPr>
          <w:sz w:val="22"/>
          <w:szCs w:val="18"/>
          <w:lang w:eastAsia="zh-CN"/>
        </w:rPr>
        <w:t xml:space="preserve"> (Fig. S3a, e, </w:t>
      </w:r>
      <w:proofErr w:type="spellStart"/>
      <w:r w:rsidRPr="005661FF">
        <w:rPr>
          <w:sz w:val="22"/>
          <w:szCs w:val="18"/>
          <w:lang w:eastAsia="zh-CN"/>
        </w:rPr>
        <w:t>i</w:t>
      </w:r>
      <w:proofErr w:type="spellEnd"/>
      <w:r w:rsidRPr="005661FF">
        <w:rPr>
          <w:sz w:val="22"/>
          <w:szCs w:val="18"/>
          <w:lang w:eastAsia="zh-CN"/>
        </w:rPr>
        <w:t>).</w:t>
      </w:r>
    </w:p>
    <w:p w14:paraId="34AD7FEC" w14:textId="6F4964FD" w:rsidR="006D4FF5" w:rsidRDefault="00221658" w:rsidP="005661FF">
      <w:pPr>
        <w:spacing w:line="360" w:lineRule="auto"/>
        <w:ind w:firstLine="0"/>
        <w:jc w:val="both"/>
      </w:pPr>
      <w:r>
        <w:rPr>
          <w:noProof/>
        </w:rPr>
        <w:drawing>
          <wp:inline distT="0" distB="0" distL="0" distR="0" wp14:anchorId="00983421" wp14:editId="1A99382B">
            <wp:extent cx="5162550" cy="2667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990" t="1060"/>
                    <a:stretch/>
                  </pic:blipFill>
                  <pic:spPr bwMode="auto">
                    <a:xfrm>
                      <a:off x="0" y="0"/>
                      <a:ext cx="516255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7F114818" w14:textId="28CD8CD0" w:rsidR="006D4FF5" w:rsidRDefault="0044262A" w:rsidP="00CE3AE6">
      <w:pPr>
        <w:spacing w:line="360" w:lineRule="auto"/>
        <w:ind w:firstLine="0"/>
        <w:jc w:val="both"/>
        <w:rPr>
          <w:bCs/>
          <w:sz w:val="22"/>
          <w:szCs w:val="18"/>
          <w:lang w:val="en-GB"/>
        </w:rPr>
      </w:pPr>
      <w:r>
        <w:rPr>
          <w:sz w:val="22"/>
          <w:szCs w:val="18"/>
        </w:rPr>
        <w:t>Fig. S</w:t>
      </w:r>
      <w:r>
        <w:rPr>
          <w:sz w:val="22"/>
          <w:szCs w:val="18"/>
          <w:lang w:eastAsia="zh-CN"/>
        </w:rPr>
        <w:t>3</w:t>
      </w:r>
      <w:r>
        <w:rPr>
          <w:sz w:val="22"/>
          <w:szCs w:val="18"/>
        </w:rPr>
        <w:t>.</w:t>
      </w:r>
      <w:bookmarkStart w:id="5" w:name="_Hlk103549923"/>
      <w:r w:rsidR="00363B71">
        <w:rPr>
          <w:bCs/>
          <w:sz w:val="22"/>
          <w:szCs w:val="18"/>
          <w:lang w:val="en-GB"/>
        </w:rPr>
        <w:t xml:space="preserve"> </w:t>
      </w:r>
      <w:r w:rsidR="00BF7827">
        <w:rPr>
          <w:bCs/>
          <w:sz w:val="22"/>
          <w:szCs w:val="18"/>
          <w:lang w:val="en-GB"/>
        </w:rPr>
        <w:t>Distributions</w:t>
      </w:r>
      <w:r w:rsidR="00363B71">
        <w:rPr>
          <w:bCs/>
          <w:sz w:val="22"/>
          <w:szCs w:val="18"/>
          <w:lang w:val="en-GB"/>
        </w:rPr>
        <w:t xml:space="preserve"> of precipitation during ONDJFM, including the total precipitation (a, e, </w:t>
      </w:r>
      <w:proofErr w:type="spellStart"/>
      <w:r w:rsidR="00363B71">
        <w:rPr>
          <w:bCs/>
          <w:sz w:val="22"/>
          <w:szCs w:val="18"/>
          <w:lang w:val="en-GB"/>
        </w:rPr>
        <w:t>i</w:t>
      </w:r>
      <w:proofErr w:type="spellEnd"/>
      <w:r w:rsidR="00363B71">
        <w:rPr>
          <w:bCs/>
          <w:sz w:val="22"/>
          <w:szCs w:val="18"/>
          <w:lang w:val="en-GB"/>
        </w:rPr>
        <w:t>), accumulated BV-associated precipitation (b, f, j), mean intensity of BV-associated precipitation (c, g, k) and the</w:t>
      </w:r>
      <w:r w:rsidR="00BF7827">
        <w:rPr>
          <w:bCs/>
          <w:sz w:val="22"/>
          <w:szCs w:val="18"/>
          <w:lang w:val="en-GB"/>
        </w:rPr>
        <w:t xml:space="preserve"> fractional</w:t>
      </w:r>
      <w:r w:rsidR="00363B71">
        <w:rPr>
          <w:bCs/>
          <w:sz w:val="22"/>
          <w:szCs w:val="18"/>
          <w:lang w:val="en-GB"/>
        </w:rPr>
        <w:t xml:space="preserve"> contribution of BVs to</w:t>
      </w:r>
      <w:r w:rsidR="00BF7827">
        <w:rPr>
          <w:bCs/>
          <w:sz w:val="22"/>
          <w:szCs w:val="18"/>
          <w:lang w:val="en-GB"/>
        </w:rPr>
        <w:t xml:space="preserve"> total precipitation (d, h, l).</w:t>
      </w:r>
    </w:p>
    <w:p w14:paraId="709FC873" w14:textId="77777777" w:rsidR="00562389" w:rsidRDefault="00562389" w:rsidP="00CE3AE6">
      <w:pPr>
        <w:spacing w:line="360" w:lineRule="auto"/>
        <w:ind w:firstLine="0"/>
        <w:jc w:val="both"/>
        <w:rPr>
          <w:bCs/>
          <w:sz w:val="22"/>
          <w:szCs w:val="18"/>
          <w:lang w:val="en-GB"/>
        </w:rPr>
      </w:pPr>
    </w:p>
    <w:bookmarkEnd w:id="5"/>
    <w:p w14:paraId="45A587F4" w14:textId="77777777" w:rsidR="0099072F" w:rsidRDefault="0099072F" w:rsidP="0099072F">
      <w:pPr>
        <w:spacing w:line="360" w:lineRule="auto"/>
        <w:ind w:firstLineChars="200" w:firstLine="440"/>
        <w:jc w:val="both"/>
        <w:rPr>
          <w:sz w:val="22"/>
          <w:szCs w:val="18"/>
          <w:lang w:eastAsia="zh-CN"/>
        </w:rPr>
      </w:pPr>
      <w:r w:rsidRPr="0099072F">
        <w:rPr>
          <w:sz w:val="22"/>
          <w:szCs w:val="18"/>
          <w:lang w:eastAsia="zh-CN"/>
        </w:rPr>
        <w:t>Fig. S4 presents the analyses of heavy rain days (HRDs) during ONDJFM. The simulated seasonally total HRDs to the North of 7°N are overestimated in all the models. HR-GCMs show a reasonable representation of the local maximum of HRD in North Borneo and on the east coast of Peninsular Malaysia (Fig. S4g), while LR-GCMs exhibit obvious underestimations in these regions (Fig. S4d). For the BV-associated HRDs, better simulations are seen for HR-GCMs (Fig. S4h) given the pronounced underestimation in LR-GCMs (Fig. S4e), especially for the coastal region of Borneo. Similar improvements by HR-GCMs are also seen for the simulated fractional contribution of BVs to HRDs (Fig. S4i), though these models still underestimate the fraction (by approximately 20% in terms of the absolute biases) in the study region. The stronger ability of HR-GCMs in simulating the extreme precipitation associated with BVs can be partly explained by the better representation of the enhanced BV-associated precipitation (Fig. S5c) by the northeasterly cold surges (Methods) than that in LR-GCMs (Fig. S5b), although all the simulations tend to underestimate such enhancements compared to ERA5 (Fig. S5a).</w:t>
      </w:r>
    </w:p>
    <w:p w14:paraId="274E4AB0" w14:textId="10486DB6" w:rsidR="006D4FF5" w:rsidRDefault="00221658" w:rsidP="0099072F">
      <w:pPr>
        <w:spacing w:line="360" w:lineRule="auto"/>
        <w:ind w:firstLine="0"/>
        <w:jc w:val="both"/>
      </w:pPr>
      <w:r>
        <w:rPr>
          <w:noProof/>
        </w:rPr>
        <w:drawing>
          <wp:inline distT="0" distB="0" distL="0" distR="0" wp14:anchorId="6593EAF1" wp14:editId="1AC25D93">
            <wp:extent cx="4913642" cy="3287609"/>
            <wp:effectExtent l="0" t="0" r="127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8438" cy="3290818"/>
                    </a:xfrm>
                    <a:prstGeom prst="rect">
                      <a:avLst/>
                    </a:prstGeom>
                    <a:noFill/>
                    <a:ln>
                      <a:noFill/>
                    </a:ln>
                  </pic:spPr>
                </pic:pic>
              </a:graphicData>
            </a:graphic>
          </wp:inline>
        </w:drawing>
      </w:r>
    </w:p>
    <w:p w14:paraId="2F79666A" w14:textId="62505689" w:rsidR="00BF7827" w:rsidRDefault="0044262A" w:rsidP="00CE3AE6">
      <w:pPr>
        <w:spacing w:line="360" w:lineRule="auto"/>
        <w:ind w:firstLine="0"/>
        <w:jc w:val="both"/>
        <w:rPr>
          <w:sz w:val="22"/>
          <w:szCs w:val="18"/>
        </w:rPr>
      </w:pPr>
      <w:r>
        <w:rPr>
          <w:sz w:val="22"/>
          <w:szCs w:val="18"/>
        </w:rPr>
        <w:t>Fig. S</w:t>
      </w:r>
      <w:r>
        <w:rPr>
          <w:sz w:val="22"/>
          <w:szCs w:val="18"/>
          <w:lang w:eastAsia="zh-CN"/>
        </w:rPr>
        <w:t>4</w:t>
      </w:r>
      <w:r>
        <w:rPr>
          <w:sz w:val="22"/>
          <w:szCs w:val="18"/>
        </w:rPr>
        <w:t xml:space="preserve">. </w:t>
      </w:r>
      <w:r w:rsidR="00BF7827">
        <w:rPr>
          <w:bCs/>
          <w:sz w:val="22"/>
          <w:szCs w:val="18"/>
          <w:lang w:val="en-GB"/>
        </w:rPr>
        <w:t xml:space="preserve">Distributions of extreme precipitation during ONDJFM in terms of heavy rain day (HRD), including the total HRD (a, e, </w:t>
      </w:r>
      <w:proofErr w:type="spellStart"/>
      <w:r w:rsidR="00BF7827">
        <w:rPr>
          <w:bCs/>
          <w:sz w:val="22"/>
          <w:szCs w:val="18"/>
          <w:lang w:val="en-GB"/>
        </w:rPr>
        <w:t>i</w:t>
      </w:r>
      <w:proofErr w:type="spellEnd"/>
      <w:r w:rsidR="00BF7827">
        <w:rPr>
          <w:bCs/>
          <w:sz w:val="22"/>
          <w:szCs w:val="18"/>
          <w:lang w:val="en-GB"/>
        </w:rPr>
        <w:t xml:space="preserve">), accumulated BV-associated HRD (b, f, j) and the fractional contribution of BVs to total HRD (c, f, </w:t>
      </w:r>
      <w:proofErr w:type="spellStart"/>
      <w:r w:rsidR="00BF7827">
        <w:rPr>
          <w:bCs/>
          <w:sz w:val="22"/>
          <w:szCs w:val="18"/>
          <w:lang w:val="en-GB"/>
        </w:rPr>
        <w:t>i</w:t>
      </w:r>
      <w:proofErr w:type="spellEnd"/>
      <w:r w:rsidR="00BF7827">
        <w:rPr>
          <w:bCs/>
          <w:sz w:val="22"/>
          <w:szCs w:val="18"/>
          <w:lang w:val="en-GB"/>
        </w:rPr>
        <w:t>).</w:t>
      </w:r>
    </w:p>
    <w:p w14:paraId="4744F232" w14:textId="418A24AD" w:rsidR="006D4FF5" w:rsidRDefault="005D4E28" w:rsidP="00EF1068">
      <w:pPr>
        <w:spacing w:line="360" w:lineRule="auto"/>
        <w:ind w:firstLine="0"/>
      </w:pPr>
      <w:r>
        <w:rPr>
          <w:noProof/>
        </w:rPr>
        <w:drawing>
          <wp:inline distT="0" distB="0" distL="0" distR="0" wp14:anchorId="172D7852" wp14:editId="1DBEF357">
            <wp:extent cx="5260975" cy="1591310"/>
            <wp:effectExtent l="0" t="0" r="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0975" cy="1591310"/>
                    </a:xfrm>
                    <a:prstGeom prst="rect">
                      <a:avLst/>
                    </a:prstGeom>
                    <a:noFill/>
                    <a:ln>
                      <a:noFill/>
                    </a:ln>
                  </pic:spPr>
                </pic:pic>
              </a:graphicData>
            </a:graphic>
          </wp:inline>
        </w:drawing>
      </w:r>
    </w:p>
    <w:p w14:paraId="3B0C4929" w14:textId="2D8C99D5" w:rsidR="006D4FF5" w:rsidRDefault="0044262A" w:rsidP="00CE3AE6">
      <w:pPr>
        <w:spacing w:line="360" w:lineRule="auto"/>
        <w:ind w:firstLine="0"/>
        <w:jc w:val="both"/>
        <w:rPr>
          <w:sz w:val="22"/>
          <w:szCs w:val="18"/>
        </w:rPr>
      </w:pPr>
      <w:r>
        <w:rPr>
          <w:sz w:val="22"/>
          <w:szCs w:val="18"/>
        </w:rPr>
        <w:t>Fig. S5. A</w:t>
      </w:r>
      <w:r w:rsidR="00EF1068">
        <w:rPr>
          <w:sz w:val="22"/>
          <w:szCs w:val="18"/>
        </w:rPr>
        <w:t xml:space="preserve">nomaly distributions for the </w:t>
      </w:r>
      <w:r w:rsidR="00CE3AE6">
        <w:rPr>
          <w:sz w:val="22"/>
          <w:szCs w:val="18"/>
        </w:rPr>
        <w:t xml:space="preserve">mean </w:t>
      </w:r>
      <w:r w:rsidR="00EF1068">
        <w:rPr>
          <w:sz w:val="22"/>
          <w:szCs w:val="18"/>
        </w:rPr>
        <w:t>BV-associated precipitation during the occurrences of cold surges relative to the</w:t>
      </w:r>
      <w:r w:rsidR="00CE3AE6">
        <w:rPr>
          <w:sz w:val="22"/>
          <w:szCs w:val="18"/>
        </w:rPr>
        <w:t xml:space="preserve"> seasonal</w:t>
      </w:r>
      <w:r w:rsidR="00EF1068">
        <w:rPr>
          <w:sz w:val="22"/>
          <w:szCs w:val="18"/>
        </w:rPr>
        <w:t xml:space="preserve"> mean BV-associated precipitation intensity for ONDJFM from</w:t>
      </w:r>
      <w:r>
        <w:rPr>
          <w:sz w:val="22"/>
          <w:szCs w:val="18"/>
          <w:lang w:eastAsia="zh-CN"/>
        </w:rPr>
        <w:t xml:space="preserve"> </w:t>
      </w:r>
      <w:r>
        <w:rPr>
          <w:sz w:val="22"/>
          <w:szCs w:val="18"/>
        </w:rPr>
        <w:t>19</w:t>
      </w:r>
      <w:r w:rsidR="00EF1068">
        <w:rPr>
          <w:sz w:val="22"/>
          <w:szCs w:val="18"/>
        </w:rPr>
        <w:t>79 to 1999. S</w:t>
      </w:r>
      <w:r>
        <w:rPr>
          <w:sz w:val="22"/>
          <w:szCs w:val="18"/>
        </w:rPr>
        <w:t xml:space="preserve">tippling indicates statistically significant </w:t>
      </w:r>
      <w:r w:rsidR="00BF05C5">
        <w:rPr>
          <w:sz w:val="22"/>
          <w:szCs w:val="18"/>
        </w:rPr>
        <w:t>anomalies</w:t>
      </w:r>
      <w:r>
        <w:rPr>
          <w:sz w:val="22"/>
          <w:szCs w:val="18"/>
        </w:rPr>
        <w:t xml:space="preserve"> with confidence levels above 9</w:t>
      </w:r>
      <w:r w:rsidR="00EF1068">
        <w:rPr>
          <w:sz w:val="22"/>
          <w:szCs w:val="18"/>
        </w:rPr>
        <w:t>0</w:t>
      </w:r>
      <w:r>
        <w:rPr>
          <w:sz w:val="22"/>
          <w:szCs w:val="18"/>
        </w:rPr>
        <w:t>%</w:t>
      </w:r>
      <w:r w:rsidR="00EF1068">
        <w:rPr>
          <w:sz w:val="22"/>
          <w:szCs w:val="18"/>
        </w:rPr>
        <w:t xml:space="preserve"> (black) and 95% (red)</w:t>
      </w:r>
      <w:r>
        <w:rPr>
          <w:sz w:val="22"/>
          <w:szCs w:val="18"/>
        </w:rPr>
        <w:t>.</w:t>
      </w:r>
    </w:p>
    <w:p w14:paraId="05F65A86" w14:textId="6EAE9E9B" w:rsidR="00397308" w:rsidRDefault="0099072F" w:rsidP="0099072F">
      <w:pPr>
        <w:spacing w:line="360" w:lineRule="auto"/>
        <w:ind w:firstLineChars="100" w:firstLine="220"/>
        <w:jc w:val="both"/>
        <w:rPr>
          <w:sz w:val="22"/>
          <w:szCs w:val="18"/>
        </w:rPr>
      </w:pPr>
      <w:r w:rsidRPr="0099072F">
        <w:rPr>
          <w:sz w:val="22"/>
          <w:szCs w:val="18"/>
        </w:rPr>
        <w:t>In summary, GCMs with higher horizontal resolutions exhibit a better representation of the detected features of BVs and the BV-associated precipitation during the northeast monsoon seasons. These findings agree well with our previous evaluation work based on simulations from a single GCM (</w:t>
      </w:r>
      <w:proofErr w:type="gramStart"/>
      <w:r w:rsidRPr="0099072F">
        <w:rPr>
          <w:sz w:val="22"/>
          <w:szCs w:val="18"/>
        </w:rPr>
        <w:t>i.e.</w:t>
      </w:r>
      <w:proofErr w:type="gramEnd"/>
      <w:r w:rsidRPr="0099072F">
        <w:rPr>
          <w:sz w:val="22"/>
          <w:szCs w:val="18"/>
        </w:rPr>
        <w:t xml:space="preserve"> the HadGEM3-GC3.1 experiments1) at three different horizontal resolutions over the same region, while in this supplementary section we display a more robust analysis of the resolution-dependence of simulated BVs using two sets of multi-GCM ensembles considering the resolution changes but with fixed model dynamical cores and physical parameterizations. The result also indicates the importance of the use of high-resolution climate models for robust investigations of the changing characteristics of BVs, especially the impact of extreme precipitation triggered by BVs. Thus, the projected near-future changes in BV characteristics reported in the main text of this paper are based on the HR-GCMs</w:t>
      </w:r>
      <w:r>
        <w:rPr>
          <w:sz w:val="22"/>
          <w:szCs w:val="18"/>
        </w:rPr>
        <w:t xml:space="preserve"> experiments</w:t>
      </w:r>
      <w:r w:rsidRPr="0099072F">
        <w:rPr>
          <w:sz w:val="22"/>
          <w:szCs w:val="18"/>
        </w:rPr>
        <w:t>.</w:t>
      </w:r>
    </w:p>
    <w:p w14:paraId="4125D585" w14:textId="77777777" w:rsidR="0099072F" w:rsidRDefault="0099072F" w:rsidP="00CE3AE6">
      <w:pPr>
        <w:spacing w:line="360" w:lineRule="auto"/>
        <w:ind w:firstLine="0"/>
        <w:jc w:val="both"/>
        <w:rPr>
          <w:sz w:val="22"/>
          <w:szCs w:val="18"/>
        </w:rPr>
      </w:pPr>
    </w:p>
    <w:p w14:paraId="6332292F" w14:textId="299CCC1B" w:rsidR="00C00E37" w:rsidRDefault="00C00E37" w:rsidP="00C00E37">
      <w:pPr>
        <w:pStyle w:val="ad"/>
        <w:numPr>
          <w:ilvl w:val="0"/>
          <w:numId w:val="1"/>
        </w:numPr>
        <w:spacing w:line="360" w:lineRule="auto"/>
        <w:ind w:firstLineChars="0"/>
        <w:jc w:val="both"/>
        <w:rPr>
          <w:b/>
          <w:bCs/>
        </w:rPr>
      </w:pPr>
      <w:r>
        <w:rPr>
          <w:b/>
          <w:bCs/>
        </w:rPr>
        <w:t xml:space="preserve">Supplementary </w:t>
      </w:r>
      <w:r w:rsidR="00F03EED">
        <w:rPr>
          <w:b/>
          <w:bCs/>
        </w:rPr>
        <w:t xml:space="preserve">table and </w:t>
      </w:r>
      <w:r>
        <w:rPr>
          <w:b/>
          <w:bCs/>
        </w:rPr>
        <w:t>figures for the future projection of BV</w:t>
      </w:r>
      <w:r w:rsidR="007141FB">
        <w:rPr>
          <w:b/>
          <w:bCs/>
        </w:rPr>
        <w:t xml:space="preserve"> characteristic</w:t>
      </w:r>
      <w:r>
        <w:rPr>
          <w:b/>
          <w:bCs/>
        </w:rPr>
        <w:t>s</w:t>
      </w:r>
    </w:p>
    <w:p w14:paraId="3DC8635E" w14:textId="5BB6CF10" w:rsidR="00DA693C" w:rsidRPr="007C43B9" w:rsidRDefault="00DA693C" w:rsidP="00DA693C">
      <w:pPr>
        <w:snapToGrid/>
        <w:spacing w:line="360" w:lineRule="auto"/>
        <w:ind w:firstLine="240"/>
        <w:jc w:val="center"/>
        <w:rPr>
          <w:rFonts w:eastAsia="Arial Unicode MS"/>
          <w:color w:val="00000A"/>
          <w:szCs w:val="24"/>
          <w:lang w:val="en-GB" w:eastAsia="zh-CN"/>
        </w:rPr>
      </w:pPr>
      <w:r w:rsidRPr="007C43B9">
        <w:rPr>
          <w:rFonts w:eastAsia="Arial Unicode MS"/>
          <w:color w:val="00000A"/>
          <w:szCs w:val="24"/>
          <w:lang w:val="en-GB" w:eastAsia="zh-CN"/>
        </w:rPr>
        <w:t xml:space="preserve">Table </w:t>
      </w:r>
      <w:r>
        <w:rPr>
          <w:rFonts w:eastAsia="Arial Unicode MS"/>
          <w:color w:val="00000A"/>
          <w:szCs w:val="24"/>
          <w:lang w:val="en-GB" w:eastAsia="zh-CN"/>
        </w:rPr>
        <w:t>2</w:t>
      </w:r>
      <w:r w:rsidRPr="007C43B9">
        <w:rPr>
          <w:rFonts w:eastAsia="Arial Unicode MS"/>
          <w:color w:val="00000A"/>
          <w:szCs w:val="24"/>
          <w:lang w:val="en-GB" w:eastAsia="zh-CN"/>
        </w:rPr>
        <w:t xml:space="preserve">. </w:t>
      </w:r>
      <w:r w:rsidR="003D2DA8">
        <w:rPr>
          <w:rFonts w:eastAsia="Arial Unicode MS"/>
          <w:color w:val="00000A"/>
          <w:szCs w:val="24"/>
          <w:lang w:val="en-GB" w:eastAsia="zh-CN"/>
        </w:rPr>
        <w:t>Projected t</w:t>
      </w:r>
      <w:r>
        <w:rPr>
          <w:rFonts w:eastAsia="Arial Unicode MS"/>
          <w:color w:val="00000A"/>
          <w:szCs w:val="24"/>
          <w:lang w:val="en-GB" w:eastAsia="zh-CN"/>
        </w:rPr>
        <w:t>rends</w:t>
      </w:r>
      <w:r w:rsidR="009A482F">
        <w:rPr>
          <w:rFonts w:eastAsia="Arial Unicode MS"/>
          <w:color w:val="00000A"/>
          <w:szCs w:val="24"/>
          <w:lang w:val="en-GB" w:eastAsia="zh-CN"/>
        </w:rPr>
        <w:t xml:space="preserve"> (unit: number per decade)</w:t>
      </w:r>
      <w:r>
        <w:rPr>
          <w:rFonts w:eastAsia="Arial Unicode MS"/>
          <w:color w:val="00000A"/>
          <w:szCs w:val="24"/>
          <w:lang w:val="en-GB" w:eastAsia="zh-CN"/>
        </w:rPr>
        <w:t xml:space="preserve"> in </w:t>
      </w:r>
      <w:r w:rsidR="00EE482F">
        <w:rPr>
          <w:rFonts w:eastAsia="Arial Unicode MS"/>
          <w:color w:val="00000A"/>
          <w:szCs w:val="24"/>
          <w:lang w:val="en-GB" w:eastAsia="zh-CN"/>
        </w:rPr>
        <w:t xml:space="preserve">5-year </w:t>
      </w:r>
      <w:r>
        <w:rPr>
          <w:rFonts w:eastAsia="Arial Unicode MS"/>
          <w:color w:val="00000A"/>
          <w:szCs w:val="24"/>
          <w:lang w:val="en-GB" w:eastAsia="zh-CN"/>
        </w:rPr>
        <w:t xml:space="preserve">BV frequencies </w:t>
      </w:r>
      <w:r w:rsidR="003D2DA8">
        <w:rPr>
          <w:rFonts w:eastAsia="Arial Unicode MS"/>
          <w:color w:val="00000A"/>
          <w:szCs w:val="24"/>
          <w:lang w:val="en-GB" w:eastAsia="zh-CN"/>
        </w:rPr>
        <w:t>from 1979 to 2050</w:t>
      </w:r>
      <w:r w:rsidRPr="007C43B9">
        <w:rPr>
          <w:rFonts w:eastAsia="Arial Unicode MS"/>
          <w:color w:val="00000A"/>
          <w:szCs w:val="24"/>
          <w:lang w:val="en-GB" w:eastAsia="zh-CN"/>
        </w:rPr>
        <w:t>.</w:t>
      </w:r>
      <w:r w:rsidR="009A482F">
        <w:rPr>
          <w:rFonts w:eastAsia="Arial Unicode MS"/>
          <w:color w:val="00000A"/>
          <w:szCs w:val="24"/>
          <w:lang w:val="en-GB" w:eastAsia="zh-CN"/>
        </w:rPr>
        <w:t xml:space="preserve"> Asterisks show the statistically significant trends </w:t>
      </w:r>
      <w:r w:rsidR="00CC7137">
        <w:rPr>
          <w:rFonts w:eastAsia="Arial Unicode MS"/>
          <w:color w:val="00000A"/>
          <w:szCs w:val="24"/>
          <w:lang w:val="en-GB" w:eastAsia="zh-CN"/>
        </w:rPr>
        <w:t>at confidence levels above 95% (</w:t>
      </w:r>
      <w:r w:rsidR="008524E6" w:rsidRPr="008524E6">
        <w:rPr>
          <w:rFonts w:eastAsia="Arial Unicode MS"/>
          <w:color w:val="00000A"/>
          <w:szCs w:val="24"/>
          <w:lang w:val="en-GB" w:eastAsia="zh-CN"/>
        </w:rPr>
        <w:t>Mann-Kendall</w:t>
      </w:r>
      <w:r w:rsidR="00CC7137">
        <w:rPr>
          <w:rFonts w:eastAsia="Arial Unicode MS"/>
          <w:color w:val="00000A"/>
          <w:szCs w:val="24"/>
          <w:lang w:val="en-GB" w:eastAsia="zh-CN"/>
        </w:rPr>
        <w:t xml:space="preserve"> test).</w:t>
      </w:r>
    </w:p>
    <w:tbl>
      <w:tblPr>
        <w:tblStyle w:val="2"/>
        <w:tblW w:w="7088" w:type="dxa"/>
        <w:jc w:val="center"/>
        <w:tblBorders>
          <w:top w:val="single" w:sz="18" w:space="0" w:color="auto"/>
          <w:bottom w:val="single" w:sz="18" w:space="0" w:color="auto"/>
        </w:tblBorders>
        <w:tblLook w:val="04A0" w:firstRow="1" w:lastRow="0" w:firstColumn="1" w:lastColumn="0" w:noHBand="0" w:noVBand="1"/>
      </w:tblPr>
      <w:tblGrid>
        <w:gridCol w:w="1843"/>
        <w:gridCol w:w="1134"/>
        <w:gridCol w:w="2552"/>
        <w:gridCol w:w="1559"/>
      </w:tblGrid>
      <w:tr w:rsidR="00DA693C" w:rsidRPr="00EE482F" w14:paraId="2A443CEC" w14:textId="77777777" w:rsidTr="00EE482F">
        <w:trPr>
          <w:trHeight w:val="575"/>
          <w:jc w:val="center"/>
        </w:trPr>
        <w:tc>
          <w:tcPr>
            <w:tcW w:w="1843" w:type="dxa"/>
            <w:tcBorders>
              <w:top w:val="single" w:sz="18" w:space="0" w:color="auto"/>
              <w:left w:val="nil"/>
              <w:bottom w:val="single" w:sz="4" w:space="0" w:color="auto"/>
              <w:right w:val="nil"/>
            </w:tcBorders>
            <w:vAlign w:val="center"/>
          </w:tcPr>
          <w:p w14:paraId="408F6FDD" w14:textId="372C4B10"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Model</w:t>
            </w:r>
          </w:p>
        </w:tc>
        <w:tc>
          <w:tcPr>
            <w:tcW w:w="1134" w:type="dxa"/>
            <w:tcBorders>
              <w:top w:val="single" w:sz="18" w:space="0" w:color="auto"/>
              <w:left w:val="nil"/>
              <w:bottom w:val="single" w:sz="4" w:space="0" w:color="auto"/>
              <w:right w:val="nil"/>
            </w:tcBorders>
            <w:vAlign w:val="center"/>
          </w:tcPr>
          <w:p w14:paraId="59C342E1" w14:textId="09E42E43"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等线"/>
                <w:color w:val="00000A"/>
                <w:sz w:val="18"/>
                <w:szCs w:val="18"/>
                <w:lang w:val="en-GB" w:eastAsia="zh-CN"/>
              </w:rPr>
              <w:t>All-regions</w:t>
            </w:r>
          </w:p>
        </w:tc>
        <w:tc>
          <w:tcPr>
            <w:tcW w:w="2552" w:type="dxa"/>
            <w:tcBorders>
              <w:top w:val="single" w:sz="18" w:space="0" w:color="auto"/>
              <w:left w:val="nil"/>
              <w:bottom w:val="single" w:sz="4" w:space="0" w:color="auto"/>
              <w:right w:val="nil"/>
            </w:tcBorders>
            <w:vAlign w:val="center"/>
          </w:tcPr>
          <w:p w14:paraId="32E9AA86" w14:textId="7CDB2541"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US" w:eastAsia="en-GB"/>
              </w:rPr>
              <w:t>Peninsular Malaysia-Sumatra</w:t>
            </w:r>
          </w:p>
        </w:tc>
        <w:tc>
          <w:tcPr>
            <w:tcW w:w="1559" w:type="dxa"/>
            <w:tcBorders>
              <w:top w:val="single" w:sz="18" w:space="0" w:color="auto"/>
              <w:left w:val="nil"/>
              <w:bottom w:val="single" w:sz="4" w:space="0" w:color="auto"/>
              <w:right w:val="nil"/>
            </w:tcBorders>
            <w:vAlign w:val="center"/>
          </w:tcPr>
          <w:p w14:paraId="493FA907" w14:textId="5AF13628"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US" w:eastAsia="en-GB"/>
              </w:rPr>
              <w:t>North Borneo</w:t>
            </w:r>
          </w:p>
        </w:tc>
      </w:tr>
      <w:tr w:rsidR="00DA693C" w:rsidRPr="00EE482F" w14:paraId="2F4990E6" w14:textId="77777777" w:rsidTr="00EE482F">
        <w:trPr>
          <w:trHeight w:val="67"/>
          <w:jc w:val="center"/>
        </w:trPr>
        <w:tc>
          <w:tcPr>
            <w:tcW w:w="1843" w:type="dxa"/>
            <w:tcBorders>
              <w:top w:val="single" w:sz="4" w:space="0" w:color="auto"/>
              <w:left w:val="nil"/>
              <w:bottom w:val="nil"/>
              <w:right w:val="nil"/>
            </w:tcBorders>
            <w:shd w:val="clear" w:color="auto" w:fill="auto"/>
            <w:vAlign w:val="center"/>
          </w:tcPr>
          <w:p w14:paraId="762341EB" w14:textId="4CA970A0"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HadGEM3-GC3.1</w:t>
            </w:r>
          </w:p>
        </w:tc>
        <w:tc>
          <w:tcPr>
            <w:tcW w:w="1134" w:type="dxa"/>
            <w:tcBorders>
              <w:top w:val="single" w:sz="4" w:space="0" w:color="auto"/>
              <w:left w:val="nil"/>
              <w:bottom w:val="nil"/>
              <w:right w:val="nil"/>
            </w:tcBorders>
            <w:vAlign w:val="center"/>
          </w:tcPr>
          <w:p w14:paraId="41A4CD61" w14:textId="2B704BF1" w:rsidR="00DA693C" w:rsidRPr="00EE482F" w:rsidRDefault="009F0030" w:rsidP="00DC786B">
            <w:pPr>
              <w:spacing w:before="0" w:after="0" w:line="240" w:lineRule="auto"/>
              <w:rPr>
                <w:rFonts w:eastAsia="Times New Roman"/>
                <w:color w:val="00000A"/>
                <w:sz w:val="18"/>
                <w:szCs w:val="18"/>
                <w:lang w:val="en-GB" w:eastAsia="en-GB"/>
              </w:rPr>
            </w:pPr>
            <w:r w:rsidRPr="00EE482F">
              <w:rPr>
                <w:rFonts w:eastAsia="Times New Roman"/>
                <w:color w:val="00000A"/>
                <w:sz w:val="18"/>
                <w:szCs w:val="18"/>
                <w:lang w:val="en-GB" w:eastAsia="en-GB"/>
              </w:rPr>
              <w:t>0.67*</w:t>
            </w:r>
          </w:p>
        </w:tc>
        <w:tc>
          <w:tcPr>
            <w:tcW w:w="2552" w:type="dxa"/>
            <w:tcBorders>
              <w:top w:val="single" w:sz="4" w:space="0" w:color="auto"/>
              <w:left w:val="nil"/>
              <w:bottom w:val="nil"/>
              <w:right w:val="nil"/>
            </w:tcBorders>
            <w:shd w:val="clear" w:color="auto" w:fill="auto"/>
            <w:vAlign w:val="center"/>
          </w:tcPr>
          <w:p w14:paraId="6A67E990" w14:textId="14EAA7B4" w:rsidR="00DA693C" w:rsidRPr="00EE482F" w:rsidRDefault="006F79B6" w:rsidP="009F0030">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A482F" w:rsidRPr="00EE482F">
              <w:rPr>
                <w:rFonts w:eastAsia="Times New Roman"/>
                <w:color w:val="00000A"/>
                <w:sz w:val="18"/>
                <w:szCs w:val="18"/>
                <w:lang w:val="en-GB" w:eastAsia="en-GB"/>
              </w:rPr>
              <w:t>0.33</w:t>
            </w:r>
          </w:p>
        </w:tc>
        <w:tc>
          <w:tcPr>
            <w:tcW w:w="1559" w:type="dxa"/>
            <w:tcBorders>
              <w:top w:val="single" w:sz="4" w:space="0" w:color="auto"/>
              <w:left w:val="nil"/>
              <w:bottom w:val="nil"/>
              <w:right w:val="nil"/>
            </w:tcBorders>
            <w:vAlign w:val="center"/>
          </w:tcPr>
          <w:p w14:paraId="2F7825A9" w14:textId="2A4C3851" w:rsidR="00DA693C" w:rsidRPr="00EE482F" w:rsidRDefault="008324C6" w:rsidP="00760439">
            <w:pPr>
              <w:snapToGrid/>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0.37</w:t>
            </w:r>
            <w:r w:rsidRPr="00EE482F">
              <w:rPr>
                <w:rFonts w:eastAsia="Times New Roman"/>
                <w:color w:val="00000A"/>
                <w:sz w:val="18"/>
                <w:szCs w:val="18"/>
                <w:lang w:val="en-GB" w:eastAsia="en-GB"/>
              </w:rPr>
              <w:t>*</w:t>
            </w:r>
          </w:p>
        </w:tc>
      </w:tr>
      <w:tr w:rsidR="00DA693C" w:rsidRPr="00EE482F" w14:paraId="2BEB46A3" w14:textId="77777777" w:rsidTr="00341446">
        <w:trPr>
          <w:trHeight w:val="87"/>
          <w:jc w:val="center"/>
        </w:trPr>
        <w:tc>
          <w:tcPr>
            <w:tcW w:w="1843" w:type="dxa"/>
            <w:tcBorders>
              <w:top w:val="nil"/>
              <w:left w:val="nil"/>
              <w:bottom w:val="nil"/>
              <w:right w:val="nil"/>
            </w:tcBorders>
            <w:shd w:val="clear" w:color="auto" w:fill="auto"/>
            <w:vAlign w:val="center"/>
          </w:tcPr>
          <w:p w14:paraId="1F1E2026" w14:textId="1B528B3C"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CNRM-CM6-1</w:t>
            </w:r>
          </w:p>
        </w:tc>
        <w:tc>
          <w:tcPr>
            <w:tcW w:w="1134" w:type="dxa"/>
            <w:tcBorders>
              <w:top w:val="nil"/>
              <w:left w:val="nil"/>
              <w:bottom w:val="nil"/>
              <w:right w:val="nil"/>
            </w:tcBorders>
            <w:vAlign w:val="center"/>
          </w:tcPr>
          <w:p w14:paraId="61C40B6C" w14:textId="7504D421" w:rsidR="00DA693C" w:rsidRPr="00EE482F" w:rsidRDefault="00C13A9C" w:rsidP="006F79B6">
            <w:pPr>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w:t>
            </w:r>
            <w:r w:rsidR="008324C6" w:rsidRPr="00EE482F">
              <w:rPr>
                <w:rFonts w:eastAsiaTheme="minorEastAsia"/>
                <w:color w:val="00000A"/>
                <w:sz w:val="18"/>
                <w:szCs w:val="18"/>
                <w:lang w:val="en-GB" w:eastAsia="zh-CN"/>
              </w:rPr>
              <w:t>1.</w:t>
            </w:r>
            <w:r w:rsidR="00EE482F" w:rsidRPr="00EE482F">
              <w:rPr>
                <w:rFonts w:eastAsiaTheme="minorEastAsia"/>
                <w:color w:val="00000A"/>
                <w:sz w:val="18"/>
                <w:szCs w:val="18"/>
                <w:lang w:val="en-GB" w:eastAsia="zh-CN"/>
              </w:rPr>
              <w:t>59</w:t>
            </w:r>
            <w:r w:rsidR="00DC786B" w:rsidRPr="00EE482F">
              <w:rPr>
                <w:rFonts w:eastAsia="Times New Roman"/>
                <w:color w:val="00000A"/>
                <w:sz w:val="18"/>
                <w:szCs w:val="18"/>
                <w:lang w:val="en-GB" w:eastAsia="en-GB"/>
              </w:rPr>
              <w:t>*</w:t>
            </w:r>
          </w:p>
        </w:tc>
        <w:tc>
          <w:tcPr>
            <w:tcW w:w="2552" w:type="dxa"/>
            <w:tcBorders>
              <w:top w:val="nil"/>
              <w:left w:val="nil"/>
              <w:bottom w:val="nil"/>
              <w:right w:val="nil"/>
            </w:tcBorders>
            <w:shd w:val="clear" w:color="auto" w:fill="auto"/>
            <w:vAlign w:val="center"/>
          </w:tcPr>
          <w:p w14:paraId="38F72239" w14:textId="01A2BF65" w:rsidR="00DA693C" w:rsidRPr="00EE482F" w:rsidRDefault="006F79B6" w:rsidP="00341446">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A482F" w:rsidRPr="00EE482F">
              <w:rPr>
                <w:rFonts w:eastAsia="Times New Roman"/>
                <w:color w:val="00000A"/>
                <w:sz w:val="18"/>
                <w:szCs w:val="18"/>
                <w:lang w:val="en-GB" w:eastAsia="en-GB"/>
              </w:rPr>
              <w:t>0.80</w:t>
            </w:r>
            <w:r w:rsidR="00AA2476" w:rsidRPr="00EE482F">
              <w:rPr>
                <w:rFonts w:eastAsia="Times New Roman"/>
                <w:color w:val="00000A"/>
                <w:sz w:val="18"/>
                <w:szCs w:val="18"/>
                <w:lang w:val="en-GB" w:eastAsia="en-GB"/>
              </w:rPr>
              <w:t>*</w:t>
            </w:r>
          </w:p>
        </w:tc>
        <w:tc>
          <w:tcPr>
            <w:tcW w:w="1559" w:type="dxa"/>
            <w:tcBorders>
              <w:top w:val="nil"/>
              <w:left w:val="nil"/>
              <w:bottom w:val="nil"/>
              <w:right w:val="nil"/>
            </w:tcBorders>
            <w:vAlign w:val="center"/>
          </w:tcPr>
          <w:p w14:paraId="7BE8C570" w14:textId="5941A2F6" w:rsidR="00DA693C" w:rsidRPr="00EE482F" w:rsidRDefault="008324C6" w:rsidP="00760439">
            <w:pPr>
              <w:snapToGrid/>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-1.31</w:t>
            </w:r>
            <w:r w:rsidRPr="00EE482F">
              <w:rPr>
                <w:rFonts w:eastAsia="Times New Roman"/>
                <w:color w:val="00000A"/>
                <w:sz w:val="18"/>
                <w:szCs w:val="18"/>
                <w:lang w:val="en-GB" w:eastAsia="en-GB"/>
              </w:rPr>
              <w:t>*</w:t>
            </w:r>
          </w:p>
        </w:tc>
      </w:tr>
      <w:tr w:rsidR="00DA693C" w:rsidRPr="00EE482F" w14:paraId="45A1E8A7" w14:textId="77777777" w:rsidTr="00341446">
        <w:trPr>
          <w:trHeight w:val="87"/>
          <w:jc w:val="center"/>
        </w:trPr>
        <w:tc>
          <w:tcPr>
            <w:tcW w:w="1843" w:type="dxa"/>
            <w:tcBorders>
              <w:top w:val="nil"/>
              <w:left w:val="nil"/>
              <w:bottom w:val="nil"/>
              <w:right w:val="nil"/>
            </w:tcBorders>
            <w:shd w:val="clear" w:color="auto" w:fill="auto"/>
            <w:vAlign w:val="center"/>
          </w:tcPr>
          <w:p w14:paraId="2ED3DA6F" w14:textId="48B43FDC"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EC-Earth3P</w:t>
            </w:r>
          </w:p>
        </w:tc>
        <w:tc>
          <w:tcPr>
            <w:tcW w:w="1134" w:type="dxa"/>
            <w:tcBorders>
              <w:top w:val="nil"/>
              <w:left w:val="nil"/>
              <w:bottom w:val="nil"/>
              <w:right w:val="nil"/>
            </w:tcBorders>
            <w:vAlign w:val="center"/>
          </w:tcPr>
          <w:p w14:paraId="106F9EBB" w14:textId="44AA2233" w:rsidR="00DA693C" w:rsidRPr="00EE482F" w:rsidRDefault="009D3F65" w:rsidP="006F79B6">
            <w:pPr>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-0.32</w:t>
            </w:r>
            <w:r w:rsidRPr="00EE482F">
              <w:rPr>
                <w:rFonts w:eastAsia="Times New Roman"/>
                <w:color w:val="00000A"/>
                <w:sz w:val="18"/>
                <w:szCs w:val="18"/>
                <w:lang w:val="en-GB" w:eastAsia="en-GB"/>
              </w:rPr>
              <w:t>*</w:t>
            </w:r>
          </w:p>
        </w:tc>
        <w:tc>
          <w:tcPr>
            <w:tcW w:w="2552" w:type="dxa"/>
            <w:tcBorders>
              <w:top w:val="nil"/>
              <w:left w:val="nil"/>
              <w:bottom w:val="nil"/>
              <w:right w:val="nil"/>
            </w:tcBorders>
            <w:shd w:val="clear" w:color="auto" w:fill="auto"/>
            <w:vAlign w:val="center"/>
          </w:tcPr>
          <w:p w14:paraId="25292D93" w14:textId="37263D39" w:rsidR="00DA693C" w:rsidRPr="00EE482F" w:rsidRDefault="00341446" w:rsidP="00341446">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D3F65" w:rsidRPr="00EE482F">
              <w:rPr>
                <w:rFonts w:eastAsia="Times New Roman"/>
                <w:color w:val="00000A"/>
                <w:sz w:val="18"/>
                <w:szCs w:val="18"/>
                <w:lang w:val="en-GB" w:eastAsia="en-GB"/>
              </w:rPr>
              <w:t>0.34</w:t>
            </w:r>
            <w:r w:rsidR="00AA2476" w:rsidRPr="00EE482F">
              <w:rPr>
                <w:rFonts w:eastAsia="Times New Roman"/>
                <w:color w:val="00000A"/>
                <w:sz w:val="18"/>
                <w:szCs w:val="18"/>
                <w:lang w:val="en-GB" w:eastAsia="en-GB"/>
              </w:rPr>
              <w:t>*</w:t>
            </w:r>
          </w:p>
        </w:tc>
        <w:tc>
          <w:tcPr>
            <w:tcW w:w="1559" w:type="dxa"/>
            <w:tcBorders>
              <w:top w:val="nil"/>
              <w:left w:val="nil"/>
              <w:bottom w:val="nil"/>
              <w:right w:val="nil"/>
            </w:tcBorders>
            <w:vAlign w:val="center"/>
          </w:tcPr>
          <w:p w14:paraId="37C61860" w14:textId="00F3C7EA" w:rsidR="00DA693C" w:rsidRPr="00EE482F" w:rsidRDefault="009D3F65" w:rsidP="00760439">
            <w:pPr>
              <w:snapToGrid/>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-0.11</w:t>
            </w:r>
          </w:p>
        </w:tc>
      </w:tr>
      <w:tr w:rsidR="00DA693C" w:rsidRPr="00EE482F" w14:paraId="78D9B9BE" w14:textId="77777777" w:rsidTr="00341446">
        <w:trPr>
          <w:trHeight w:val="87"/>
          <w:jc w:val="center"/>
        </w:trPr>
        <w:tc>
          <w:tcPr>
            <w:tcW w:w="1843" w:type="dxa"/>
            <w:tcBorders>
              <w:top w:val="nil"/>
              <w:left w:val="nil"/>
              <w:bottom w:val="nil"/>
              <w:right w:val="nil"/>
            </w:tcBorders>
            <w:shd w:val="clear" w:color="auto" w:fill="auto"/>
            <w:vAlign w:val="center"/>
          </w:tcPr>
          <w:p w14:paraId="502B2E78" w14:textId="4602A434"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bookmarkStart w:id="6" w:name="_Hlk104339032"/>
            <w:r w:rsidRPr="00EE482F">
              <w:rPr>
                <w:rFonts w:eastAsia="Times New Roman"/>
                <w:color w:val="00000A"/>
                <w:sz w:val="18"/>
                <w:szCs w:val="18"/>
                <w:lang w:val="en-GB" w:eastAsia="en-GB"/>
              </w:rPr>
              <w:t>MRI-AGCM3-2</w:t>
            </w:r>
          </w:p>
        </w:tc>
        <w:tc>
          <w:tcPr>
            <w:tcW w:w="1134" w:type="dxa"/>
            <w:tcBorders>
              <w:top w:val="nil"/>
              <w:left w:val="nil"/>
              <w:bottom w:val="nil"/>
              <w:right w:val="nil"/>
            </w:tcBorders>
            <w:vAlign w:val="center"/>
          </w:tcPr>
          <w:p w14:paraId="23A2903B" w14:textId="40541DA1" w:rsidR="00DA693C" w:rsidRPr="00EE482F" w:rsidRDefault="00C13A9C" w:rsidP="006F79B6">
            <w:pPr>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w:t>
            </w:r>
            <w:r w:rsidR="009F0030" w:rsidRPr="00EE482F">
              <w:rPr>
                <w:rFonts w:eastAsiaTheme="minorEastAsia"/>
                <w:color w:val="00000A"/>
                <w:sz w:val="18"/>
                <w:szCs w:val="18"/>
                <w:lang w:val="en-GB" w:eastAsia="zh-CN"/>
              </w:rPr>
              <w:t>0.</w:t>
            </w:r>
            <w:r w:rsidR="00EE482F" w:rsidRPr="00EE482F">
              <w:rPr>
                <w:rFonts w:eastAsiaTheme="minorEastAsia"/>
                <w:color w:val="00000A"/>
                <w:sz w:val="18"/>
                <w:szCs w:val="18"/>
                <w:lang w:val="en-GB" w:eastAsia="zh-CN"/>
              </w:rPr>
              <w:t>08</w:t>
            </w:r>
            <w:r w:rsidR="00DC786B" w:rsidRPr="00EE482F">
              <w:rPr>
                <w:rFonts w:eastAsia="Times New Roman"/>
                <w:color w:val="00000A"/>
                <w:sz w:val="18"/>
                <w:szCs w:val="18"/>
                <w:lang w:val="en-GB" w:eastAsia="en-GB"/>
              </w:rPr>
              <w:t>*</w:t>
            </w:r>
          </w:p>
        </w:tc>
        <w:tc>
          <w:tcPr>
            <w:tcW w:w="2552" w:type="dxa"/>
            <w:tcBorders>
              <w:top w:val="nil"/>
              <w:left w:val="nil"/>
              <w:bottom w:val="nil"/>
              <w:right w:val="nil"/>
            </w:tcBorders>
            <w:shd w:val="clear" w:color="auto" w:fill="auto"/>
            <w:vAlign w:val="center"/>
          </w:tcPr>
          <w:p w14:paraId="2E83EAB8" w14:textId="6A803178" w:rsidR="00DA693C" w:rsidRPr="00EE482F" w:rsidRDefault="00341446" w:rsidP="00341446">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-0.</w:t>
            </w:r>
            <w:r w:rsidR="009A482F" w:rsidRPr="00EE482F">
              <w:rPr>
                <w:rFonts w:eastAsia="Times New Roman"/>
                <w:color w:val="00000A"/>
                <w:sz w:val="18"/>
                <w:szCs w:val="18"/>
                <w:lang w:val="en-GB" w:eastAsia="en-GB"/>
              </w:rPr>
              <w:t>26</w:t>
            </w:r>
          </w:p>
        </w:tc>
        <w:tc>
          <w:tcPr>
            <w:tcW w:w="1559" w:type="dxa"/>
            <w:tcBorders>
              <w:top w:val="nil"/>
              <w:left w:val="nil"/>
              <w:bottom w:val="nil"/>
              <w:right w:val="nil"/>
            </w:tcBorders>
            <w:vAlign w:val="center"/>
          </w:tcPr>
          <w:p w14:paraId="15D07308" w14:textId="18198BFC" w:rsidR="00DA693C" w:rsidRPr="00EE482F" w:rsidRDefault="008324C6" w:rsidP="00760439">
            <w:pPr>
              <w:snapToGrid/>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-0.42</w:t>
            </w:r>
            <w:r w:rsidRPr="00EE482F">
              <w:rPr>
                <w:rFonts w:eastAsia="Times New Roman"/>
                <w:color w:val="00000A"/>
                <w:sz w:val="18"/>
                <w:szCs w:val="18"/>
                <w:lang w:val="en-GB" w:eastAsia="en-GB"/>
              </w:rPr>
              <w:t>*</w:t>
            </w:r>
          </w:p>
        </w:tc>
      </w:tr>
      <w:tr w:rsidR="00DA693C" w:rsidRPr="00EE482F" w14:paraId="0D6F5593" w14:textId="77777777" w:rsidTr="00341446">
        <w:trPr>
          <w:trHeight w:val="315"/>
          <w:jc w:val="center"/>
        </w:trPr>
        <w:tc>
          <w:tcPr>
            <w:tcW w:w="1843" w:type="dxa"/>
            <w:tcBorders>
              <w:top w:val="nil"/>
              <w:left w:val="nil"/>
              <w:bottom w:val="nil"/>
              <w:right w:val="nil"/>
            </w:tcBorders>
            <w:shd w:val="clear" w:color="auto" w:fill="auto"/>
            <w:vAlign w:val="center"/>
          </w:tcPr>
          <w:p w14:paraId="6D4272DB" w14:textId="6E622B17" w:rsidR="00DA693C" w:rsidRPr="00EE482F" w:rsidRDefault="00C13A9C" w:rsidP="00760439">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MPI-ESM-XR</w:t>
            </w:r>
          </w:p>
        </w:tc>
        <w:tc>
          <w:tcPr>
            <w:tcW w:w="1134" w:type="dxa"/>
            <w:tcBorders>
              <w:top w:val="nil"/>
              <w:left w:val="nil"/>
              <w:bottom w:val="nil"/>
              <w:right w:val="nil"/>
            </w:tcBorders>
            <w:vAlign w:val="center"/>
          </w:tcPr>
          <w:p w14:paraId="293D1D31" w14:textId="43E20E25" w:rsidR="00DA693C" w:rsidRPr="00EE482F" w:rsidRDefault="006F79B6" w:rsidP="006F79B6">
            <w:pPr>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w:t>
            </w:r>
            <w:r w:rsidR="009F0030" w:rsidRPr="00EE482F">
              <w:rPr>
                <w:rFonts w:eastAsia="Times New Roman"/>
                <w:color w:val="00000A"/>
                <w:sz w:val="18"/>
                <w:szCs w:val="18"/>
                <w:lang w:val="en-GB" w:eastAsia="en-GB"/>
              </w:rPr>
              <w:t>0.73</w:t>
            </w:r>
            <w:r w:rsidR="00DC786B" w:rsidRPr="00EE482F">
              <w:rPr>
                <w:rFonts w:eastAsia="Times New Roman"/>
                <w:color w:val="00000A"/>
                <w:sz w:val="18"/>
                <w:szCs w:val="18"/>
                <w:lang w:val="en-GB" w:eastAsia="en-GB"/>
              </w:rPr>
              <w:t>*</w:t>
            </w:r>
          </w:p>
        </w:tc>
        <w:tc>
          <w:tcPr>
            <w:tcW w:w="2552" w:type="dxa"/>
            <w:tcBorders>
              <w:top w:val="nil"/>
              <w:left w:val="nil"/>
              <w:bottom w:val="nil"/>
              <w:right w:val="nil"/>
            </w:tcBorders>
            <w:shd w:val="clear" w:color="auto" w:fill="auto"/>
            <w:vAlign w:val="center"/>
          </w:tcPr>
          <w:p w14:paraId="2895AE5A" w14:textId="16EA67CF" w:rsidR="00DA693C" w:rsidRPr="00EE482F" w:rsidRDefault="00341446" w:rsidP="00341446">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A482F" w:rsidRPr="00EE482F">
              <w:rPr>
                <w:rFonts w:eastAsia="Times New Roman"/>
                <w:color w:val="00000A"/>
                <w:sz w:val="18"/>
                <w:szCs w:val="18"/>
                <w:lang w:val="en-GB" w:eastAsia="en-GB"/>
              </w:rPr>
              <w:t>0.54</w:t>
            </w:r>
            <w:r w:rsidR="00AA2476" w:rsidRPr="00EE482F">
              <w:rPr>
                <w:rFonts w:eastAsia="Times New Roman"/>
                <w:color w:val="00000A"/>
                <w:sz w:val="18"/>
                <w:szCs w:val="18"/>
                <w:lang w:val="en-GB" w:eastAsia="en-GB"/>
              </w:rPr>
              <w:t>*</w:t>
            </w:r>
          </w:p>
        </w:tc>
        <w:tc>
          <w:tcPr>
            <w:tcW w:w="1559" w:type="dxa"/>
            <w:tcBorders>
              <w:top w:val="nil"/>
              <w:left w:val="nil"/>
              <w:bottom w:val="nil"/>
              <w:right w:val="nil"/>
            </w:tcBorders>
            <w:vAlign w:val="center"/>
          </w:tcPr>
          <w:p w14:paraId="114E8C76" w14:textId="5C7581E0" w:rsidR="00DA693C" w:rsidRPr="00EE482F" w:rsidRDefault="008324C6" w:rsidP="00760439">
            <w:pPr>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-0.87</w:t>
            </w:r>
            <w:r w:rsidRPr="00EE482F">
              <w:rPr>
                <w:rFonts w:eastAsia="Times New Roman"/>
                <w:color w:val="00000A"/>
                <w:sz w:val="18"/>
                <w:szCs w:val="18"/>
                <w:lang w:val="en-GB" w:eastAsia="en-GB"/>
              </w:rPr>
              <w:t>*</w:t>
            </w:r>
          </w:p>
        </w:tc>
      </w:tr>
      <w:tr w:rsidR="00DA693C" w:rsidRPr="00EE482F" w14:paraId="2DC3D1C5" w14:textId="77777777" w:rsidTr="00341446">
        <w:trPr>
          <w:trHeight w:val="87"/>
          <w:jc w:val="center"/>
        </w:trPr>
        <w:tc>
          <w:tcPr>
            <w:tcW w:w="1843" w:type="dxa"/>
            <w:tcBorders>
              <w:top w:val="nil"/>
              <w:left w:val="nil"/>
              <w:bottom w:val="nil"/>
              <w:right w:val="nil"/>
            </w:tcBorders>
            <w:shd w:val="clear" w:color="auto" w:fill="auto"/>
            <w:vAlign w:val="center"/>
          </w:tcPr>
          <w:p w14:paraId="4404C1CF" w14:textId="471C0725"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CMCC-CM2</w:t>
            </w:r>
          </w:p>
        </w:tc>
        <w:tc>
          <w:tcPr>
            <w:tcW w:w="1134" w:type="dxa"/>
            <w:tcBorders>
              <w:top w:val="nil"/>
              <w:left w:val="nil"/>
              <w:bottom w:val="nil"/>
              <w:right w:val="nil"/>
            </w:tcBorders>
            <w:vAlign w:val="center"/>
          </w:tcPr>
          <w:p w14:paraId="058C0B8D" w14:textId="524E93EA" w:rsidR="00DA693C" w:rsidRPr="00EE482F" w:rsidRDefault="006F79B6" w:rsidP="00DC786B">
            <w:pPr>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w:t>
            </w:r>
            <w:r w:rsidR="009F0030" w:rsidRPr="00EE482F">
              <w:rPr>
                <w:rFonts w:eastAsia="Times New Roman"/>
                <w:color w:val="00000A"/>
                <w:sz w:val="18"/>
                <w:szCs w:val="18"/>
                <w:lang w:val="en-GB" w:eastAsia="en-GB"/>
              </w:rPr>
              <w:t>0.67</w:t>
            </w:r>
            <w:r w:rsidR="00DC786B" w:rsidRPr="00EE482F">
              <w:rPr>
                <w:rFonts w:eastAsia="Times New Roman"/>
                <w:color w:val="00000A"/>
                <w:sz w:val="18"/>
                <w:szCs w:val="18"/>
                <w:lang w:val="en-GB" w:eastAsia="en-GB"/>
              </w:rPr>
              <w:t>*</w:t>
            </w:r>
          </w:p>
        </w:tc>
        <w:tc>
          <w:tcPr>
            <w:tcW w:w="2552" w:type="dxa"/>
            <w:tcBorders>
              <w:top w:val="nil"/>
              <w:left w:val="nil"/>
              <w:bottom w:val="nil"/>
              <w:right w:val="nil"/>
            </w:tcBorders>
            <w:shd w:val="clear" w:color="auto" w:fill="auto"/>
            <w:vAlign w:val="center"/>
          </w:tcPr>
          <w:p w14:paraId="68A3E288" w14:textId="33E34CC5" w:rsidR="00DA693C" w:rsidRPr="00EE482F" w:rsidRDefault="00341446" w:rsidP="00341446">
            <w:pPr>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A482F" w:rsidRPr="00EE482F">
              <w:rPr>
                <w:rFonts w:eastAsia="Times New Roman"/>
                <w:color w:val="00000A"/>
                <w:sz w:val="18"/>
                <w:szCs w:val="18"/>
                <w:lang w:val="en-GB" w:eastAsia="en-GB"/>
              </w:rPr>
              <w:t>0.46</w:t>
            </w:r>
            <w:r w:rsidR="00AA2476" w:rsidRPr="00EE482F">
              <w:rPr>
                <w:rFonts w:eastAsia="Times New Roman"/>
                <w:color w:val="00000A"/>
                <w:sz w:val="18"/>
                <w:szCs w:val="18"/>
                <w:lang w:val="en-GB" w:eastAsia="en-GB"/>
              </w:rPr>
              <w:t>*</w:t>
            </w:r>
          </w:p>
        </w:tc>
        <w:tc>
          <w:tcPr>
            <w:tcW w:w="1559" w:type="dxa"/>
            <w:tcBorders>
              <w:top w:val="nil"/>
              <w:left w:val="nil"/>
              <w:bottom w:val="nil"/>
              <w:right w:val="nil"/>
            </w:tcBorders>
            <w:vAlign w:val="center"/>
          </w:tcPr>
          <w:p w14:paraId="72367217" w14:textId="68CE7534" w:rsidR="00DA693C" w:rsidRPr="00EE482F" w:rsidRDefault="008324C6" w:rsidP="00760439">
            <w:pPr>
              <w:snapToGrid/>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-0.15</w:t>
            </w:r>
          </w:p>
        </w:tc>
      </w:tr>
      <w:tr w:rsidR="00DA693C" w:rsidRPr="00EE482F" w14:paraId="416A4601" w14:textId="77777777" w:rsidTr="00341446">
        <w:trPr>
          <w:trHeight w:val="87"/>
          <w:jc w:val="center"/>
        </w:trPr>
        <w:tc>
          <w:tcPr>
            <w:tcW w:w="1843" w:type="dxa"/>
            <w:tcBorders>
              <w:top w:val="nil"/>
              <w:left w:val="nil"/>
              <w:bottom w:val="single" w:sz="18" w:space="0" w:color="auto"/>
              <w:right w:val="nil"/>
            </w:tcBorders>
            <w:shd w:val="clear" w:color="auto" w:fill="auto"/>
            <w:vAlign w:val="center"/>
          </w:tcPr>
          <w:p w14:paraId="46E24A7A" w14:textId="4F8DB2C5" w:rsidR="00DA693C" w:rsidRPr="00EE482F" w:rsidRDefault="00DA693C" w:rsidP="00760439">
            <w:pPr>
              <w:snapToGrid/>
              <w:spacing w:before="0" w:after="0" w:line="240" w:lineRule="auto"/>
              <w:ind w:firstLine="0"/>
              <w:jc w:val="center"/>
              <w:rPr>
                <w:rFonts w:eastAsia="Times New Roman"/>
                <w:color w:val="00000A"/>
                <w:sz w:val="18"/>
                <w:szCs w:val="18"/>
                <w:lang w:val="en-GB" w:eastAsia="en-GB"/>
              </w:rPr>
            </w:pPr>
            <w:r w:rsidRPr="00EE482F">
              <w:rPr>
                <w:rFonts w:eastAsiaTheme="minorEastAsia"/>
                <w:color w:val="00000A"/>
                <w:sz w:val="18"/>
                <w:szCs w:val="18"/>
                <w:lang w:val="en-GB" w:eastAsia="zh-CN"/>
              </w:rPr>
              <w:t>Ensemble</w:t>
            </w:r>
          </w:p>
        </w:tc>
        <w:tc>
          <w:tcPr>
            <w:tcW w:w="1134" w:type="dxa"/>
            <w:tcBorders>
              <w:top w:val="nil"/>
              <w:left w:val="nil"/>
              <w:right w:val="nil"/>
            </w:tcBorders>
            <w:vAlign w:val="center"/>
          </w:tcPr>
          <w:p w14:paraId="724FF77E" w14:textId="3DBBAAAC" w:rsidR="00DA693C" w:rsidRPr="00EE482F" w:rsidRDefault="006F79B6" w:rsidP="00760439">
            <w:pPr>
              <w:snapToGrid/>
              <w:spacing w:before="0" w:after="0" w:line="240" w:lineRule="auto"/>
              <w:ind w:firstLine="0"/>
              <w:jc w:val="center"/>
              <w:rPr>
                <w:rFonts w:eastAsia="等线"/>
                <w:color w:val="00000A"/>
                <w:sz w:val="18"/>
                <w:szCs w:val="18"/>
                <w:lang w:val="en-GB" w:eastAsia="zh-CN"/>
              </w:rPr>
            </w:pPr>
            <w:r w:rsidRPr="00EE482F">
              <w:rPr>
                <w:rFonts w:eastAsiaTheme="minorEastAsia"/>
                <w:color w:val="00000A"/>
                <w:sz w:val="18"/>
                <w:szCs w:val="18"/>
                <w:lang w:val="en-GB" w:eastAsia="zh-CN"/>
              </w:rPr>
              <w:t>-</w:t>
            </w:r>
            <w:r w:rsidR="009F0030" w:rsidRPr="00EE482F">
              <w:rPr>
                <w:rFonts w:eastAsia="等线"/>
                <w:color w:val="00000A"/>
                <w:sz w:val="18"/>
                <w:szCs w:val="18"/>
                <w:lang w:val="en-GB" w:eastAsia="zh-CN"/>
              </w:rPr>
              <w:t>0.45</w:t>
            </w:r>
            <w:r w:rsidR="00DC786B" w:rsidRPr="00EE482F">
              <w:rPr>
                <w:rFonts w:eastAsia="Times New Roman"/>
                <w:color w:val="00000A"/>
                <w:sz w:val="18"/>
                <w:szCs w:val="18"/>
                <w:lang w:val="en-GB" w:eastAsia="en-GB"/>
              </w:rPr>
              <w:t>*</w:t>
            </w:r>
          </w:p>
        </w:tc>
        <w:tc>
          <w:tcPr>
            <w:tcW w:w="2552" w:type="dxa"/>
            <w:tcBorders>
              <w:top w:val="nil"/>
              <w:left w:val="nil"/>
              <w:right w:val="nil"/>
            </w:tcBorders>
            <w:shd w:val="clear" w:color="auto" w:fill="auto"/>
            <w:vAlign w:val="center"/>
          </w:tcPr>
          <w:p w14:paraId="00D6A06D" w14:textId="164ADFE3" w:rsidR="00DA693C" w:rsidRPr="00EE482F" w:rsidRDefault="00341446" w:rsidP="00341446">
            <w:pPr>
              <w:snapToGrid/>
              <w:spacing w:before="0" w:after="0" w:line="240" w:lineRule="auto"/>
              <w:ind w:firstLine="0"/>
              <w:jc w:val="center"/>
              <w:rPr>
                <w:rFonts w:eastAsia="Times New Roman"/>
                <w:color w:val="00000A"/>
                <w:sz w:val="18"/>
                <w:szCs w:val="18"/>
                <w:lang w:val="en-GB" w:eastAsia="en-GB"/>
              </w:rPr>
            </w:pPr>
            <w:r w:rsidRPr="00EE482F">
              <w:rPr>
                <w:rFonts w:eastAsia="Times New Roman"/>
                <w:color w:val="00000A"/>
                <w:sz w:val="18"/>
                <w:szCs w:val="18"/>
                <w:lang w:val="en-GB" w:eastAsia="en-GB"/>
              </w:rPr>
              <w:t>-</w:t>
            </w:r>
            <w:r w:rsidR="009A482F" w:rsidRPr="00EE482F">
              <w:rPr>
                <w:rFonts w:eastAsia="Times New Roman"/>
                <w:color w:val="00000A"/>
                <w:sz w:val="18"/>
                <w:szCs w:val="18"/>
                <w:lang w:val="en-GB" w:eastAsia="en-GB"/>
              </w:rPr>
              <w:t>0.46*</w:t>
            </w:r>
          </w:p>
        </w:tc>
        <w:tc>
          <w:tcPr>
            <w:tcW w:w="1559" w:type="dxa"/>
            <w:tcBorders>
              <w:top w:val="nil"/>
              <w:left w:val="nil"/>
              <w:right w:val="nil"/>
            </w:tcBorders>
            <w:vAlign w:val="center"/>
          </w:tcPr>
          <w:p w14:paraId="44D52E9E" w14:textId="288BDDC2" w:rsidR="00DA693C" w:rsidRPr="00EE482F" w:rsidRDefault="009F0030" w:rsidP="00760439">
            <w:pPr>
              <w:snapToGrid/>
              <w:spacing w:before="0" w:after="0" w:line="240" w:lineRule="auto"/>
              <w:ind w:firstLine="0"/>
              <w:jc w:val="center"/>
              <w:rPr>
                <w:rFonts w:eastAsiaTheme="minorEastAsia"/>
                <w:color w:val="00000A"/>
                <w:sz w:val="18"/>
                <w:szCs w:val="18"/>
                <w:lang w:val="en-GB" w:eastAsia="zh-CN"/>
              </w:rPr>
            </w:pPr>
            <w:r w:rsidRPr="00EE482F">
              <w:rPr>
                <w:rFonts w:eastAsiaTheme="minorEastAsia"/>
                <w:color w:val="00000A"/>
                <w:sz w:val="18"/>
                <w:szCs w:val="18"/>
                <w:lang w:val="en-GB" w:eastAsia="zh-CN"/>
              </w:rPr>
              <w:t>-0.42</w:t>
            </w:r>
            <w:r w:rsidRPr="00EE482F">
              <w:rPr>
                <w:rFonts w:eastAsia="Times New Roman"/>
                <w:color w:val="00000A"/>
                <w:sz w:val="18"/>
                <w:szCs w:val="18"/>
                <w:lang w:val="en-GB" w:eastAsia="en-GB"/>
              </w:rPr>
              <w:t>*</w:t>
            </w:r>
          </w:p>
        </w:tc>
      </w:tr>
      <w:bookmarkEnd w:id="6"/>
    </w:tbl>
    <w:p w14:paraId="7CD4E15C" w14:textId="77777777" w:rsidR="00DA693C" w:rsidRDefault="00DA693C" w:rsidP="00DA693C">
      <w:pPr>
        <w:spacing w:line="360" w:lineRule="auto"/>
        <w:ind w:firstLine="0"/>
        <w:jc w:val="center"/>
      </w:pPr>
    </w:p>
    <w:p w14:paraId="1F9011F9" w14:textId="77777777" w:rsidR="00DA693C" w:rsidRPr="00DA693C" w:rsidRDefault="00DA693C" w:rsidP="00DA693C">
      <w:pPr>
        <w:spacing w:line="360" w:lineRule="auto"/>
        <w:ind w:firstLine="0"/>
        <w:jc w:val="both"/>
        <w:rPr>
          <w:b/>
          <w:bCs/>
        </w:rPr>
      </w:pPr>
    </w:p>
    <w:p w14:paraId="64758DD5" w14:textId="77777777" w:rsidR="001727D9" w:rsidRDefault="001727D9" w:rsidP="001727D9">
      <w:pPr>
        <w:pStyle w:val="ad"/>
        <w:spacing w:line="360" w:lineRule="auto"/>
        <w:ind w:firstLineChars="0" w:firstLine="0"/>
      </w:pPr>
      <w:r>
        <w:rPr>
          <w:noProof/>
        </w:rPr>
        <w:drawing>
          <wp:inline distT="0" distB="0" distL="0" distR="0" wp14:anchorId="00652932" wp14:editId="04116505">
            <wp:extent cx="5114261" cy="2658139"/>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28A0092B-C50C-407E-A947-70E740481C1C}">
                          <a14:useLocalDpi xmlns:a14="http://schemas.microsoft.com/office/drawing/2010/main" val="0"/>
                        </a:ext>
                      </a:extLst>
                    </a:blip>
                    <a:srcRect r="874" b="3092"/>
                    <a:stretch/>
                  </pic:blipFill>
                  <pic:spPr bwMode="auto">
                    <a:xfrm>
                      <a:off x="0" y="0"/>
                      <a:ext cx="5114711" cy="2658373"/>
                    </a:xfrm>
                    <a:prstGeom prst="rect">
                      <a:avLst/>
                    </a:prstGeom>
                    <a:noFill/>
                    <a:ln>
                      <a:noFill/>
                    </a:ln>
                    <a:extLst>
                      <a:ext uri="{53640926-AAD7-44D8-BBD7-CCE9431645EC}">
                        <a14:shadowObscured xmlns:a14="http://schemas.microsoft.com/office/drawing/2010/main"/>
                      </a:ext>
                    </a:extLst>
                  </pic:spPr>
                </pic:pic>
              </a:graphicData>
            </a:graphic>
          </wp:inline>
        </w:drawing>
      </w:r>
    </w:p>
    <w:p w14:paraId="611F6A7A" w14:textId="4CF535D6" w:rsidR="00FC7BFE" w:rsidRPr="00FC7BFE" w:rsidRDefault="001727D9" w:rsidP="00FC7BFE">
      <w:pPr>
        <w:spacing w:line="360" w:lineRule="auto"/>
        <w:ind w:firstLine="0"/>
        <w:rPr>
          <w:sz w:val="22"/>
          <w:szCs w:val="18"/>
        </w:rPr>
      </w:pPr>
      <w:r w:rsidRPr="001727D9">
        <w:rPr>
          <w:bCs/>
          <w:sz w:val="22"/>
          <w:szCs w:val="18"/>
          <w:lang w:val="en-GB"/>
        </w:rPr>
        <w:t>Fig. S</w:t>
      </w:r>
      <w:r>
        <w:rPr>
          <w:bCs/>
          <w:sz w:val="22"/>
          <w:szCs w:val="18"/>
          <w:lang w:val="en-GB"/>
        </w:rPr>
        <w:t>6</w:t>
      </w:r>
      <w:r w:rsidRPr="001727D9">
        <w:rPr>
          <w:bCs/>
          <w:sz w:val="22"/>
          <w:szCs w:val="18"/>
          <w:lang w:val="en-GB"/>
        </w:rPr>
        <w:t xml:space="preserve">. </w:t>
      </w:r>
      <w:r w:rsidR="00FC7BFE" w:rsidRPr="00FC7BFE">
        <w:rPr>
          <w:bCs/>
          <w:sz w:val="22"/>
          <w:szCs w:val="18"/>
          <w:lang w:val="en-GB"/>
        </w:rPr>
        <w:t xml:space="preserve">Distributions of </w:t>
      </w:r>
      <w:r w:rsidR="00FC7BFE">
        <w:rPr>
          <w:bCs/>
          <w:sz w:val="22"/>
          <w:szCs w:val="18"/>
          <w:lang w:val="en-GB"/>
        </w:rPr>
        <w:t xml:space="preserve">the mean </w:t>
      </w:r>
      <w:r w:rsidR="00FC7BFE" w:rsidRPr="00FC7BFE">
        <w:rPr>
          <w:bCs/>
          <w:sz w:val="22"/>
          <w:szCs w:val="18"/>
          <w:lang w:val="en-GB"/>
        </w:rPr>
        <w:t xml:space="preserve">precipitation </w:t>
      </w:r>
      <w:r w:rsidR="00FC7BFE">
        <w:rPr>
          <w:bCs/>
          <w:sz w:val="22"/>
          <w:szCs w:val="18"/>
          <w:lang w:val="en-GB"/>
        </w:rPr>
        <w:t xml:space="preserve">intensities associated with all BVs </w:t>
      </w:r>
      <w:r w:rsidR="00FC7BFE" w:rsidRPr="00FC7BFE">
        <w:rPr>
          <w:bCs/>
          <w:sz w:val="22"/>
          <w:szCs w:val="18"/>
          <w:lang w:val="en-GB"/>
        </w:rPr>
        <w:t>during ONDJFM</w:t>
      </w:r>
      <w:r w:rsidR="00FC7BFE">
        <w:rPr>
          <w:bCs/>
          <w:sz w:val="22"/>
          <w:szCs w:val="18"/>
          <w:lang w:val="en-GB"/>
        </w:rPr>
        <w:t xml:space="preserve"> (a, d) and those associated with cold surges (b, e)</w:t>
      </w:r>
      <w:r w:rsidR="00FC7BFE" w:rsidRPr="00FC7BFE">
        <w:rPr>
          <w:bCs/>
          <w:sz w:val="22"/>
          <w:szCs w:val="18"/>
          <w:lang w:val="en-GB"/>
        </w:rPr>
        <w:t>.</w:t>
      </w:r>
      <w:r w:rsidR="00FC7BFE">
        <w:rPr>
          <w:bCs/>
          <w:sz w:val="22"/>
          <w:szCs w:val="18"/>
          <w:lang w:val="en-GB"/>
        </w:rPr>
        <w:t xml:space="preserve"> The absolute differences between the mean </w:t>
      </w:r>
      <w:r w:rsidR="00FC7BFE" w:rsidRPr="00FC7BFE">
        <w:rPr>
          <w:bCs/>
          <w:sz w:val="22"/>
          <w:szCs w:val="18"/>
          <w:lang w:val="en-GB"/>
        </w:rPr>
        <w:t xml:space="preserve">precipitation </w:t>
      </w:r>
      <w:r w:rsidR="00FC7BFE">
        <w:rPr>
          <w:bCs/>
          <w:sz w:val="22"/>
          <w:szCs w:val="18"/>
          <w:lang w:val="en-GB"/>
        </w:rPr>
        <w:t xml:space="preserve">intensities for all BVs and those associated with </w:t>
      </w:r>
      <w:r w:rsidR="005028AB">
        <w:rPr>
          <w:bCs/>
          <w:sz w:val="22"/>
          <w:szCs w:val="18"/>
          <w:lang w:val="en-GB"/>
        </w:rPr>
        <w:t>cold-surge</w:t>
      </w:r>
      <w:r w:rsidR="00FC7BFE">
        <w:rPr>
          <w:bCs/>
          <w:sz w:val="22"/>
          <w:szCs w:val="18"/>
          <w:lang w:val="en-GB"/>
        </w:rPr>
        <w:t>-related BVs are shown in (c, f): a-c, historical period during 1979-1999. d-f, the projected absolute changes under the SSP5-85 scenario (2030-2050) relative to the historical period.</w:t>
      </w:r>
    </w:p>
    <w:p w14:paraId="0CCF1BAB" w14:textId="0D44C43B" w:rsidR="001727D9" w:rsidRPr="001727D9" w:rsidRDefault="001727D9" w:rsidP="001727D9">
      <w:pPr>
        <w:spacing w:line="360" w:lineRule="auto"/>
        <w:ind w:firstLine="0"/>
        <w:rPr>
          <w:sz w:val="22"/>
          <w:szCs w:val="18"/>
        </w:rPr>
      </w:pPr>
    </w:p>
    <w:p w14:paraId="572B185B" w14:textId="78B6C9D1" w:rsidR="006D4FF5" w:rsidRDefault="006D4FF5">
      <w:pPr>
        <w:spacing w:line="360" w:lineRule="auto"/>
        <w:ind w:firstLine="0"/>
        <w:jc w:val="center"/>
        <w:rPr>
          <w:bCs/>
          <w:noProof/>
          <w:lang w:val="en-GB"/>
        </w:rPr>
      </w:pPr>
    </w:p>
    <w:p w14:paraId="17694A18" w14:textId="585CA0D3" w:rsidR="00C00E37" w:rsidRDefault="00C00E37">
      <w:pPr>
        <w:spacing w:line="360" w:lineRule="auto"/>
        <w:ind w:firstLine="0"/>
        <w:jc w:val="center"/>
      </w:pPr>
      <w:r>
        <w:rPr>
          <w:bCs/>
          <w:noProof/>
          <w:lang w:val="en-GB"/>
        </w:rPr>
        <w:drawing>
          <wp:inline distT="0" distB="0" distL="0" distR="0" wp14:anchorId="3C580280" wp14:editId="7B4E47EF">
            <wp:extent cx="4215337" cy="4550735"/>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5256" cy="4561443"/>
                    </a:xfrm>
                    <a:prstGeom prst="rect">
                      <a:avLst/>
                    </a:prstGeom>
                    <a:noFill/>
                    <a:ln>
                      <a:noFill/>
                    </a:ln>
                  </pic:spPr>
                </pic:pic>
              </a:graphicData>
            </a:graphic>
          </wp:inline>
        </w:drawing>
      </w:r>
    </w:p>
    <w:p w14:paraId="2B522D2E" w14:textId="103C035A" w:rsidR="006D4FF5" w:rsidRDefault="0044262A" w:rsidP="005028AB">
      <w:pPr>
        <w:spacing w:line="360" w:lineRule="auto"/>
        <w:ind w:firstLine="0"/>
        <w:jc w:val="both"/>
        <w:rPr>
          <w:sz w:val="22"/>
          <w:szCs w:val="18"/>
        </w:rPr>
      </w:pPr>
      <w:r>
        <w:rPr>
          <w:bCs/>
          <w:sz w:val="22"/>
          <w:szCs w:val="18"/>
          <w:lang w:val="en-GB"/>
        </w:rPr>
        <w:t xml:space="preserve">Fig. S7. </w:t>
      </w:r>
      <w:r>
        <w:rPr>
          <w:sz w:val="22"/>
          <w:szCs w:val="18"/>
        </w:rPr>
        <w:t>As Figure S</w:t>
      </w:r>
      <w:r w:rsidR="005028AB">
        <w:rPr>
          <w:sz w:val="22"/>
          <w:szCs w:val="18"/>
        </w:rPr>
        <w:t>2i-k</w:t>
      </w:r>
      <w:r>
        <w:rPr>
          <w:sz w:val="22"/>
          <w:szCs w:val="18"/>
        </w:rPr>
        <w:t xml:space="preserve">, but for </w:t>
      </w:r>
      <w:r w:rsidR="005028AB">
        <w:rPr>
          <w:sz w:val="22"/>
          <w:szCs w:val="18"/>
        </w:rPr>
        <w:t>historical period during 1979-1999 (a-c), future period during 2030-2050 (SSP5-85, d-f)</w:t>
      </w:r>
      <w:r>
        <w:rPr>
          <w:sz w:val="22"/>
          <w:szCs w:val="18"/>
        </w:rPr>
        <w:t xml:space="preserve"> </w:t>
      </w:r>
      <w:r w:rsidR="005028AB">
        <w:rPr>
          <w:sz w:val="22"/>
          <w:szCs w:val="18"/>
        </w:rPr>
        <w:t>and the projected absolute changes for SSP5-85 relative to the historical period</w:t>
      </w:r>
      <w:r>
        <w:rPr>
          <w:sz w:val="22"/>
          <w:szCs w:val="18"/>
        </w:rPr>
        <w:t xml:space="preserve">. </w:t>
      </w:r>
      <w:r w:rsidR="005028AB">
        <w:rPr>
          <w:sz w:val="22"/>
          <w:szCs w:val="18"/>
        </w:rPr>
        <w:t>Cross symbols</w:t>
      </w:r>
      <w:r>
        <w:rPr>
          <w:sz w:val="22"/>
          <w:szCs w:val="18"/>
        </w:rPr>
        <w:t xml:space="preserve"> indicate</w:t>
      </w:r>
      <w:r w:rsidR="005028AB">
        <w:rPr>
          <w:sz w:val="22"/>
          <w:szCs w:val="18"/>
        </w:rPr>
        <w:t xml:space="preserve"> </w:t>
      </w:r>
      <w:r>
        <w:rPr>
          <w:sz w:val="22"/>
          <w:szCs w:val="18"/>
        </w:rPr>
        <w:t>statistically significant trends with confidence levels above 9</w:t>
      </w:r>
      <w:r w:rsidR="005028AB">
        <w:rPr>
          <w:sz w:val="22"/>
          <w:szCs w:val="18"/>
        </w:rPr>
        <w:t>0</w:t>
      </w:r>
      <w:r>
        <w:rPr>
          <w:sz w:val="22"/>
          <w:szCs w:val="18"/>
        </w:rPr>
        <w:t>%</w:t>
      </w:r>
      <w:r w:rsidR="005028AB">
        <w:rPr>
          <w:sz w:val="22"/>
          <w:szCs w:val="18"/>
        </w:rPr>
        <w:t xml:space="preserve"> (black) and 95% (red)</w:t>
      </w:r>
      <w:r>
        <w:rPr>
          <w:sz w:val="22"/>
          <w:szCs w:val="18"/>
        </w:rPr>
        <w:t>.</w:t>
      </w:r>
    </w:p>
    <w:p w14:paraId="4D6FCBFA" w14:textId="61217F73" w:rsidR="00C00E37" w:rsidRDefault="002A7BFB" w:rsidP="00C00E37">
      <w:pPr>
        <w:spacing w:line="360" w:lineRule="auto"/>
        <w:ind w:firstLine="0"/>
        <w:jc w:val="center"/>
      </w:pPr>
      <w:r>
        <w:rPr>
          <w:noProof/>
        </w:rPr>
        <w:drawing>
          <wp:inline distT="0" distB="0" distL="0" distR="0" wp14:anchorId="2A4137EF" wp14:editId="1F923622">
            <wp:extent cx="3750541" cy="1816324"/>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04388" cy="1842401"/>
                    </a:xfrm>
                    <a:prstGeom prst="rect">
                      <a:avLst/>
                    </a:prstGeom>
                    <a:noFill/>
                    <a:ln>
                      <a:noFill/>
                    </a:ln>
                  </pic:spPr>
                </pic:pic>
              </a:graphicData>
            </a:graphic>
          </wp:inline>
        </w:drawing>
      </w:r>
    </w:p>
    <w:p w14:paraId="6A1694CC" w14:textId="4ADC5D72" w:rsidR="007200A6" w:rsidRDefault="00C00E37" w:rsidP="007200A6">
      <w:pPr>
        <w:spacing w:line="360" w:lineRule="auto"/>
        <w:ind w:firstLine="0"/>
        <w:jc w:val="both"/>
        <w:rPr>
          <w:sz w:val="22"/>
          <w:szCs w:val="18"/>
        </w:rPr>
      </w:pPr>
      <w:r>
        <w:rPr>
          <w:bCs/>
          <w:sz w:val="22"/>
          <w:szCs w:val="18"/>
          <w:lang w:val="en-GB"/>
        </w:rPr>
        <w:t xml:space="preserve">Fig. S8. </w:t>
      </w:r>
      <w:r w:rsidR="007200A6">
        <w:rPr>
          <w:bCs/>
          <w:sz w:val="22"/>
          <w:szCs w:val="18"/>
          <w:lang w:val="en-GB"/>
        </w:rPr>
        <w:t>F</w:t>
      </w:r>
      <w:proofErr w:type="spellStart"/>
      <w:r w:rsidR="007200A6">
        <w:rPr>
          <w:sz w:val="22"/>
          <w:szCs w:val="18"/>
        </w:rPr>
        <w:t>ractio</w:t>
      </w:r>
      <w:r w:rsidR="007200A6" w:rsidRPr="007200A6">
        <w:rPr>
          <w:sz w:val="22"/>
          <w:szCs w:val="18"/>
        </w:rPr>
        <w:t>n</w:t>
      </w:r>
      <w:proofErr w:type="spellEnd"/>
      <w:r w:rsidR="007200A6">
        <w:rPr>
          <w:sz w:val="22"/>
          <w:szCs w:val="18"/>
        </w:rPr>
        <w:t xml:space="preserve"> distribution</w:t>
      </w:r>
      <w:r w:rsidR="007200A6" w:rsidRPr="007200A6">
        <w:rPr>
          <w:sz w:val="22"/>
          <w:szCs w:val="18"/>
        </w:rPr>
        <w:t xml:space="preserve"> </w:t>
      </w:r>
      <w:r w:rsidR="007200A6">
        <w:rPr>
          <w:sz w:val="22"/>
          <w:szCs w:val="18"/>
        </w:rPr>
        <w:t>of</w:t>
      </w:r>
      <w:r w:rsidR="007200A6" w:rsidRPr="007200A6">
        <w:rPr>
          <w:sz w:val="22"/>
          <w:szCs w:val="18"/>
        </w:rPr>
        <w:t xml:space="preserve"> categorized BVs with respect to all BVs during ONDJFM in 1979–</w:t>
      </w:r>
      <w:r w:rsidR="007200A6">
        <w:rPr>
          <w:sz w:val="22"/>
          <w:szCs w:val="18"/>
        </w:rPr>
        <w:t xml:space="preserve">1999 </w:t>
      </w:r>
      <w:r w:rsidR="007200A6" w:rsidRPr="007200A6">
        <w:rPr>
          <w:sz w:val="22"/>
          <w:szCs w:val="18"/>
        </w:rPr>
        <w:t xml:space="preserve">by </w:t>
      </w:r>
      <w:r w:rsidR="007200A6">
        <w:rPr>
          <w:sz w:val="22"/>
          <w:szCs w:val="18"/>
        </w:rPr>
        <w:t>the near-</w:t>
      </w:r>
      <w:proofErr w:type="spellStart"/>
      <w:r w:rsidR="007200A6">
        <w:rPr>
          <w:sz w:val="22"/>
          <w:szCs w:val="18"/>
        </w:rPr>
        <w:t>centre</w:t>
      </w:r>
      <w:proofErr w:type="spellEnd"/>
      <w:r w:rsidR="007200A6">
        <w:rPr>
          <w:sz w:val="22"/>
          <w:szCs w:val="18"/>
        </w:rPr>
        <w:t xml:space="preserve"> maximum relative vorticity </w:t>
      </w:r>
      <w:r w:rsidR="007200A6" w:rsidRPr="007200A6">
        <w:rPr>
          <w:sz w:val="22"/>
          <w:szCs w:val="18"/>
        </w:rPr>
        <w:t xml:space="preserve">at </w:t>
      </w:r>
      <w:r w:rsidR="007200A6">
        <w:rPr>
          <w:sz w:val="22"/>
          <w:szCs w:val="18"/>
        </w:rPr>
        <w:t>850</w:t>
      </w:r>
      <w:r w:rsidR="007200A6" w:rsidRPr="007200A6">
        <w:rPr>
          <w:sz w:val="22"/>
          <w:szCs w:val="18"/>
        </w:rPr>
        <w:t xml:space="preserve"> </w:t>
      </w:r>
      <w:proofErr w:type="spellStart"/>
      <w:r w:rsidR="007200A6" w:rsidRPr="007200A6">
        <w:rPr>
          <w:sz w:val="22"/>
          <w:szCs w:val="18"/>
        </w:rPr>
        <w:t>hPa</w:t>
      </w:r>
      <w:proofErr w:type="spellEnd"/>
      <w:r w:rsidR="007200A6" w:rsidRPr="007200A6">
        <w:rPr>
          <w:sz w:val="22"/>
          <w:szCs w:val="18"/>
        </w:rPr>
        <w:t>.</w:t>
      </w:r>
      <w:r w:rsidR="007200A6">
        <w:rPr>
          <w:sz w:val="22"/>
          <w:szCs w:val="18"/>
        </w:rPr>
        <w:t xml:space="preserve"> Yellow </w:t>
      </w:r>
      <w:r w:rsidR="007200A6" w:rsidRPr="007200A6">
        <w:rPr>
          <w:sz w:val="22"/>
          <w:szCs w:val="18"/>
        </w:rPr>
        <w:t>diamond</w:t>
      </w:r>
      <w:r w:rsidR="007200A6">
        <w:rPr>
          <w:sz w:val="22"/>
          <w:szCs w:val="18"/>
        </w:rPr>
        <w:t xml:space="preserve">s indicate statistically significant changes for </w:t>
      </w:r>
      <w:r w:rsidR="00D20A6C">
        <w:rPr>
          <w:sz w:val="22"/>
          <w:szCs w:val="18"/>
        </w:rPr>
        <w:t xml:space="preserve">ensemble mean of </w:t>
      </w:r>
      <w:r w:rsidR="007200A6">
        <w:rPr>
          <w:sz w:val="22"/>
          <w:szCs w:val="18"/>
        </w:rPr>
        <w:t xml:space="preserve">SSP5-85 (2030-2050, red) relative to </w:t>
      </w:r>
      <w:r w:rsidR="00D20A6C">
        <w:rPr>
          <w:sz w:val="22"/>
          <w:szCs w:val="18"/>
        </w:rPr>
        <w:t xml:space="preserve">that of </w:t>
      </w:r>
      <w:r w:rsidR="007200A6">
        <w:rPr>
          <w:sz w:val="22"/>
          <w:szCs w:val="18"/>
        </w:rPr>
        <w:t xml:space="preserve">historical period (1979-1999, blue) with confidence levels above 95%. </w:t>
      </w:r>
      <w:r w:rsidR="00BF05C5">
        <w:rPr>
          <w:sz w:val="22"/>
          <w:szCs w:val="18"/>
        </w:rPr>
        <w:t xml:space="preserve">Black </w:t>
      </w:r>
      <w:r w:rsidR="00BF05C5">
        <w:rPr>
          <w:rFonts w:hint="eastAsia"/>
          <w:sz w:val="22"/>
          <w:szCs w:val="18"/>
          <w:lang w:eastAsia="zh-CN"/>
        </w:rPr>
        <w:t>bars</w:t>
      </w:r>
      <w:r w:rsidR="00BF05C5">
        <w:rPr>
          <w:sz w:val="22"/>
          <w:szCs w:val="18"/>
        </w:rPr>
        <w:t xml:space="preserve"> show the distribution </w:t>
      </w:r>
      <w:r w:rsidR="00BF05C5">
        <w:rPr>
          <w:rFonts w:hint="eastAsia"/>
          <w:sz w:val="22"/>
          <w:szCs w:val="18"/>
          <w:lang w:eastAsia="zh-CN"/>
        </w:rPr>
        <w:t>for</w:t>
      </w:r>
      <w:r w:rsidR="00BF05C5">
        <w:rPr>
          <w:sz w:val="22"/>
          <w:szCs w:val="18"/>
        </w:rPr>
        <w:t xml:space="preserve"> ERA5.</w:t>
      </w:r>
    </w:p>
    <w:p w14:paraId="3F131F99" w14:textId="77777777" w:rsidR="002A7BFB" w:rsidRDefault="002A7BFB" w:rsidP="002A7BFB">
      <w:pPr>
        <w:spacing w:line="360" w:lineRule="auto"/>
        <w:ind w:firstLine="0"/>
        <w:jc w:val="center"/>
      </w:pPr>
      <w:r>
        <w:rPr>
          <w:noProof/>
        </w:rPr>
        <w:drawing>
          <wp:inline distT="0" distB="0" distL="0" distR="0" wp14:anchorId="0B3F0667" wp14:editId="002C2B75">
            <wp:extent cx="4369981" cy="4625163"/>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r="3215" b="2676"/>
                    <a:stretch/>
                  </pic:blipFill>
                  <pic:spPr bwMode="auto">
                    <a:xfrm>
                      <a:off x="0" y="0"/>
                      <a:ext cx="4375827" cy="4631350"/>
                    </a:xfrm>
                    <a:prstGeom prst="rect">
                      <a:avLst/>
                    </a:prstGeom>
                    <a:noFill/>
                    <a:ln>
                      <a:noFill/>
                    </a:ln>
                    <a:extLst>
                      <a:ext uri="{53640926-AAD7-44D8-BBD7-CCE9431645EC}">
                        <a14:shadowObscured xmlns:a14="http://schemas.microsoft.com/office/drawing/2010/main"/>
                      </a:ext>
                    </a:extLst>
                  </pic:spPr>
                </pic:pic>
              </a:graphicData>
            </a:graphic>
          </wp:inline>
        </w:drawing>
      </w:r>
    </w:p>
    <w:p w14:paraId="0208F598" w14:textId="2BD66A00" w:rsidR="00A62CD5" w:rsidRDefault="002A7BFB" w:rsidP="00A62CD5">
      <w:pPr>
        <w:spacing w:line="360" w:lineRule="auto"/>
        <w:ind w:firstLine="0"/>
        <w:jc w:val="both"/>
        <w:rPr>
          <w:sz w:val="22"/>
          <w:szCs w:val="18"/>
        </w:rPr>
      </w:pPr>
      <w:r>
        <w:rPr>
          <w:bCs/>
          <w:sz w:val="22"/>
          <w:szCs w:val="18"/>
          <w:lang w:val="en-GB"/>
        </w:rPr>
        <w:t xml:space="preserve">Fig. S9. </w:t>
      </w:r>
      <w:r w:rsidR="00A62CD5">
        <w:rPr>
          <w:sz w:val="22"/>
          <w:szCs w:val="18"/>
        </w:rPr>
        <w:t xml:space="preserve">Average 850-hPa wind fields (a, c) and </w:t>
      </w:r>
      <w:r w:rsidR="00A62CD5" w:rsidRPr="00A62CD5">
        <w:rPr>
          <w:sz w:val="22"/>
          <w:szCs w:val="18"/>
        </w:rPr>
        <w:t>MSLP</w:t>
      </w:r>
      <w:r w:rsidR="00A62CD5">
        <w:rPr>
          <w:sz w:val="22"/>
          <w:szCs w:val="18"/>
        </w:rPr>
        <w:t xml:space="preserve"> (b, d)</w:t>
      </w:r>
      <w:r w:rsidR="00A62CD5" w:rsidRPr="00A62CD5">
        <w:rPr>
          <w:sz w:val="22"/>
          <w:szCs w:val="18"/>
        </w:rPr>
        <w:t xml:space="preserve"> for 24</w:t>
      </w:r>
      <w:r w:rsidR="00A62CD5">
        <w:rPr>
          <w:sz w:val="22"/>
          <w:szCs w:val="18"/>
        </w:rPr>
        <w:t>-hour</w:t>
      </w:r>
      <w:r w:rsidR="00A62CD5" w:rsidRPr="00A62CD5">
        <w:rPr>
          <w:sz w:val="22"/>
          <w:szCs w:val="18"/>
        </w:rPr>
        <w:t xml:space="preserve"> prior to the genesis phase</w:t>
      </w:r>
      <w:r w:rsidR="00A62CD5">
        <w:rPr>
          <w:sz w:val="22"/>
          <w:szCs w:val="18"/>
        </w:rPr>
        <w:t>s</w:t>
      </w:r>
      <w:r w:rsidR="00A62CD5" w:rsidRPr="00A62CD5">
        <w:rPr>
          <w:sz w:val="22"/>
          <w:szCs w:val="18"/>
        </w:rPr>
        <w:t xml:space="preserve"> of the 200 most intense BVs</w:t>
      </w:r>
      <w:r w:rsidR="00A62CD5">
        <w:rPr>
          <w:sz w:val="22"/>
          <w:szCs w:val="18"/>
        </w:rPr>
        <w:t xml:space="preserve"> </w:t>
      </w:r>
      <w:r w:rsidR="00A62CD5" w:rsidRPr="00A62CD5">
        <w:rPr>
          <w:sz w:val="22"/>
          <w:szCs w:val="18"/>
        </w:rPr>
        <w:t>during DJF for the period 1979–</w:t>
      </w:r>
      <w:r w:rsidR="00A62CD5">
        <w:rPr>
          <w:sz w:val="22"/>
          <w:szCs w:val="18"/>
        </w:rPr>
        <w:t>1999</w:t>
      </w:r>
      <w:r w:rsidR="00A62CD5" w:rsidRPr="00A62CD5">
        <w:rPr>
          <w:sz w:val="22"/>
          <w:szCs w:val="18"/>
        </w:rPr>
        <w:t xml:space="preserve">: </w:t>
      </w:r>
      <w:proofErr w:type="spellStart"/>
      <w:proofErr w:type="gramStart"/>
      <w:r w:rsidR="00A62CD5">
        <w:rPr>
          <w:sz w:val="22"/>
          <w:szCs w:val="18"/>
        </w:rPr>
        <w:t>a,b</w:t>
      </w:r>
      <w:proofErr w:type="spellEnd"/>
      <w:proofErr w:type="gramEnd"/>
      <w:r w:rsidR="00A62CD5">
        <w:rPr>
          <w:sz w:val="22"/>
          <w:szCs w:val="18"/>
        </w:rPr>
        <w:t>,</w:t>
      </w:r>
      <w:r w:rsidR="00A62CD5" w:rsidRPr="00A62CD5">
        <w:rPr>
          <w:sz w:val="22"/>
          <w:szCs w:val="18"/>
        </w:rPr>
        <w:t xml:space="preserve"> </w:t>
      </w:r>
      <w:r w:rsidR="00A62CD5">
        <w:rPr>
          <w:sz w:val="22"/>
          <w:szCs w:val="18"/>
        </w:rPr>
        <w:t xml:space="preserve">ensemble mean for the historical period during 1979-1999. </w:t>
      </w:r>
      <w:proofErr w:type="spellStart"/>
      <w:proofErr w:type="gramStart"/>
      <w:r w:rsidR="00A62CD5">
        <w:rPr>
          <w:sz w:val="22"/>
          <w:szCs w:val="18"/>
        </w:rPr>
        <w:t>c,d</w:t>
      </w:r>
      <w:proofErr w:type="spellEnd"/>
      <w:proofErr w:type="gramEnd"/>
      <w:r w:rsidR="00A62CD5">
        <w:rPr>
          <w:sz w:val="22"/>
          <w:szCs w:val="18"/>
        </w:rPr>
        <w:t xml:space="preserve">, </w:t>
      </w:r>
      <w:r w:rsidR="00D20A6C">
        <w:rPr>
          <w:sz w:val="22"/>
          <w:szCs w:val="18"/>
        </w:rPr>
        <w:t xml:space="preserve">ensemble mean for </w:t>
      </w:r>
      <w:r w:rsidR="00A62CD5">
        <w:rPr>
          <w:sz w:val="22"/>
          <w:szCs w:val="18"/>
        </w:rPr>
        <w:t>the projected absolute changes for SSP5-85 (2030-2050) relative to the historical period</w:t>
      </w:r>
      <w:r>
        <w:rPr>
          <w:sz w:val="22"/>
          <w:szCs w:val="18"/>
        </w:rPr>
        <w:t>.</w:t>
      </w:r>
      <w:r w:rsidR="00A62CD5">
        <w:rPr>
          <w:sz w:val="22"/>
          <w:szCs w:val="18"/>
        </w:rPr>
        <w:t xml:space="preserve"> Stippling indicates statistically significant changes with confidence levels above 90% (black) and 95% (red).</w:t>
      </w:r>
    </w:p>
    <w:p w14:paraId="547E7548" w14:textId="77777777" w:rsidR="001727D9" w:rsidRDefault="001727D9" w:rsidP="001727D9">
      <w:pPr>
        <w:spacing w:line="360" w:lineRule="auto"/>
        <w:ind w:firstLine="0"/>
        <w:jc w:val="center"/>
      </w:pPr>
      <w:r>
        <w:rPr>
          <w:noProof/>
        </w:rPr>
        <w:drawing>
          <wp:inline distT="0" distB="0" distL="0" distR="0" wp14:anchorId="72D165E0" wp14:editId="576BD04A">
            <wp:extent cx="4529470" cy="3731895"/>
            <wp:effectExtent l="0" t="0" r="4445"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r="5130" b="3299"/>
                    <a:stretch/>
                  </pic:blipFill>
                  <pic:spPr bwMode="auto">
                    <a:xfrm>
                      <a:off x="0" y="0"/>
                      <a:ext cx="4534526" cy="3736061"/>
                    </a:xfrm>
                    <a:prstGeom prst="rect">
                      <a:avLst/>
                    </a:prstGeom>
                    <a:noFill/>
                    <a:ln>
                      <a:noFill/>
                    </a:ln>
                    <a:extLst>
                      <a:ext uri="{53640926-AAD7-44D8-BBD7-CCE9431645EC}">
                        <a14:shadowObscured xmlns:a14="http://schemas.microsoft.com/office/drawing/2010/main"/>
                      </a:ext>
                    </a:extLst>
                  </pic:spPr>
                </pic:pic>
              </a:graphicData>
            </a:graphic>
          </wp:inline>
        </w:drawing>
      </w:r>
    </w:p>
    <w:p w14:paraId="13FD3DD0" w14:textId="1ED20FF0" w:rsidR="00B97745" w:rsidRDefault="001727D9" w:rsidP="00B97745">
      <w:pPr>
        <w:spacing w:line="360" w:lineRule="auto"/>
        <w:ind w:firstLine="0"/>
        <w:jc w:val="both"/>
        <w:rPr>
          <w:sz w:val="22"/>
          <w:szCs w:val="18"/>
        </w:rPr>
      </w:pPr>
      <w:r>
        <w:rPr>
          <w:sz w:val="22"/>
          <w:szCs w:val="18"/>
        </w:rPr>
        <w:t>Fig. S</w:t>
      </w:r>
      <w:r w:rsidR="002A7BFB">
        <w:rPr>
          <w:sz w:val="22"/>
          <w:szCs w:val="18"/>
        </w:rPr>
        <w:t>10</w:t>
      </w:r>
      <w:r>
        <w:rPr>
          <w:sz w:val="22"/>
          <w:szCs w:val="18"/>
        </w:rPr>
        <w:t xml:space="preserve">. </w:t>
      </w:r>
      <w:r w:rsidR="00B97745">
        <w:rPr>
          <w:sz w:val="22"/>
          <w:szCs w:val="18"/>
        </w:rPr>
        <w:t>Anomalies of d</w:t>
      </w:r>
      <w:r w:rsidR="009755C7" w:rsidRPr="009755C7">
        <w:rPr>
          <w:sz w:val="22"/>
          <w:szCs w:val="18"/>
        </w:rPr>
        <w:t>aily mean track densit</w:t>
      </w:r>
      <w:r w:rsidR="00B97745">
        <w:rPr>
          <w:sz w:val="22"/>
          <w:szCs w:val="18"/>
        </w:rPr>
        <w:t xml:space="preserve">y </w:t>
      </w:r>
      <w:r w:rsidR="009755C7" w:rsidRPr="009755C7">
        <w:rPr>
          <w:sz w:val="22"/>
          <w:szCs w:val="18"/>
        </w:rPr>
        <w:t>(shaded;</w:t>
      </w:r>
      <w:r w:rsidR="009755C7">
        <w:rPr>
          <w:sz w:val="22"/>
          <w:szCs w:val="18"/>
        </w:rPr>
        <w:t xml:space="preserve"> unit:</w:t>
      </w:r>
      <w:r w:rsidR="009755C7" w:rsidRPr="009755C7">
        <w:rPr>
          <w:sz w:val="22"/>
          <w:szCs w:val="18"/>
        </w:rPr>
        <w:t xml:space="preserve"> percent per 3.5° spherical area per day) of BVs during</w:t>
      </w:r>
      <w:r w:rsidR="009755C7">
        <w:rPr>
          <w:sz w:val="22"/>
          <w:szCs w:val="18"/>
        </w:rPr>
        <w:t xml:space="preserve"> cold surge</w:t>
      </w:r>
      <w:r w:rsidR="009755C7" w:rsidRPr="009755C7">
        <w:rPr>
          <w:sz w:val="22"/>
          <w:szCs w:val="18"/>
        </w:rPr>
        <w:t xml:space="preserve"> events</w:t>
      </w:r>
      <w:r w:rsidR="00B97745">
        <w:rPr>
          <w:sz w:val="22"/>
          <w:szCs w:val="18"/>
        </w:rPr>
        <w:t xml:space="preserve"> </w:t>
      </w:r>
      <w:r w:rsidR="009755C7">
        <w:rPr>
          <w:sz w:val="22"/>
          <w:szCs w:val="18"/>
        </w:rPr>
        <w:t xml:space="preserve">(a, c) and the </w:t>
      </w:r>
      <w:r w:rsidR="00B97745">
        <w:rPr>
          <w:sz w:val="22"/>
          <w:szCs w:val="18"/>
        </w:rPr>
        <w:t xml:space="preserve">distribution of </w:t>
      </w:r>
      <w:r w:rsidR="009755C7">
        <w:rPr>
          <w:sz w:val="22"/>
          <w:szCs w:val="18"/>
        </w:rPr>
        <w:t xml:space="preserve">fraction </w:t>
      </w:r>
      <w:r w:rsidR="00B97745">
        <w:rPr>
          <w:sz w:val="22"/>
          <w:szCs w:val="18"/>
        </w:rPr>
        <w:t xml:space="preserve">for </w:t>
      </w:r>
      <w:r w:rsidR="009755C7">
        <w:rPr>
          <w:sz w:val="22"/>
          <w:szCs w:val="18"/>
        </w:rPr>
        <w:t>cold-surge-related BVs</w:t>
      </w:r>
      <w:r w:rsidR="009755C7" w:rsidRPr="009755C7">
        <w:rPr>
          <w:sz w:val="22"/>
          <w:szCs w:val="18"/>
        </w:rPr>
        <w:t xml:space="preserve"> </w:t>
      </w:r>
      <w:r w:rsidR="00B97745">
        <w:rPr>
          <w:sz w:val="22"/>
          <w:szCs w:val="18"/>
        </w:rPr>
        <w:t xml:space="preserve">(b, d) relative to all BVs </w:t>
      </w:r>
      <w:r w:rsidR="00A21C13">
        <w:rPr>
          <w:sz w:val="22"/>
          <w:szCs w:val="18"/>
        </w:rPr>
        <w:t>during</w:t>
      </w:r>
      <w:r w:rsidR="009755C7" w:rsidRPr="009755C7">
        <w:rPr>
          <w:sz w:val="22"/>
          <w:szCs w:val="18"/>
        </w:rPr>
        <w:t xml:space="preserve"> ONDJFM. Black contours </w:t>
      </w:r>
      <w:r w:rsidR="00B97745">
        <w:rPr>
          <w:sz w:val="22"/>
          <w:szCs w:val="18"/>
        </w:rPr>
        <w:t xml:space="preserve">in (a, c) </w:t>
      </w:r>
      <w:r w:rsidR="009755C7" w:rsidRPr="009755C7">
        <w:rPr>
          <w:sz w:val="22"/>
          <w:szCs w:val="18"/>
        </w:rPr>
        <w:t xml:space="preserve">show the daily mean track densities </w:t>
      </w:r>
      <w:r w:rsidR="00B97745">
        <w:rPr>
          <w:sz w:val="22"/>
          <w:szCs w:val="18"/>
        </w:rPr>
        <w:t>for cold-surge-related BVs</w:t>
      </w:r>
      <w:r w:rsidR="00B97745" w:rsidRPr="009755C7">
        <w:rPr>
          <w:sz w:val="22"/>
          <w:szCs w:val="18"/>
        </w:rPr>
        <w:t xml:space="preserve"> </w:t>
      </w:r>
      <w:r w:rsidR="009755C7" w:rsidRPr="009755C7">
        <w:rPr>
          <w:sz w:val="22"/>
          <w:szCs w:val="18"/>
        </w:rPr>
        <w:t xml:space="preserve">during ONDJFM: </w:t>
      </w:r>
      <w:proofErr w:type="spellStart"/>
      <w:proofErr w:type="gramStart"/>
      <w:r w:rsidR="00B97745">
        <w:rPr>
          <w:sz w:val="22"/>
          <w:szCs w:val="18"/>
        </w:rPr>
        <w:t>a,b</w:t>
      </w:r>
      <w:proofErr w:type="spellEnd"/>
      <w:proofErr w:type="gramEnd"/>
      <w:r w:rsidR="00B97745">
        <w:rPr>
          <w:sz w:val="22"/>
          <w:szCs w:val="18"/>
        </w:rPr>
        <w:t xml:space="preserve">, ensemble mean for the historical period during 1979-1999. </w:t>
      </w:r>
      <w:proofErr w:type="spellStart"/>
      <w:proofErr w:type="gramStart"/>
      <w:r w:rsidR="00B97745">
        <w:rPr>
          <w:sz w:val="22"/>
          <w:szCs w:val="18"/>
        </w:rPr>
        <w:t>c,d</w:t>
      </w:r>
      <w:proofErr w:type="spellEnd"/>
      <w:proofErr w:type="gramEnd"/>
      <w:r w:rsidR="00B97745">
        <w:rPr>
          <w:sz w:val="22"/>
          <w:szCs w:val="18"/>
        </w:rPr>
        <w:t>, ensemble mean for the projected absolute changes for SSP5-85 (2030-2050) relative to the historical period. Stippling (for shaded) and crosses (for black contours) indicate statistically significant changes with confidence levels above 90% (black) and 95% (red).</w:t>
      </w:r>
    </w:p>
    <w:p w14:paraId="60FECA89" w14:textId="58EB4E03" w:rsidR="00F56D3B" w:rsidRDefault="00F56D3B">
      <w:pPr>
        <w:ind w:firstLine="0"/>
        <w:jc w:val="center"/>
      </w:pPr>
    </w:p>
    <w:p w14:paraId="4988A93B" w14:textId="7BD4ED3D" w:rsidR="00E7482F" w:rsidRDefault="00E7482F" w:rsidP="00E7482F">
      <w:pPr>
        <w:spacing w:line="360" w:lineRule="auto"/>
        <w:ind w:firstLine="0"/>
        <w:jc w:val="center"/>
      </w:pPr>
      <w:r>
        <w:rPr>
          <w:noProof/>
        </w:rPr>
        <w:drawing>
          <wp:inline distT="0" distB="0" distL="0" distR="0" wp14:anchorId="39ECDEBE" wp14:editId="244D86C9">
            <wp:extent cx="5100924" cy="2583712"/>
            <wp:effectExtent l="0" t="0" r="508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b="2403"/>
                    <a:stretch/>
                  </pic:blipFill>
                  <pic:spPr bwMode="auto">
                    <a:xfrm>
                      <a:off x="0" y="0"/>
                      <a:ext cx="5123867" cy="2595333"/>
                    </a:xfrm>
                    <a:prstGeom prst="rect">
                      <a:avLst/>
                    </a:prstGeom>
                    <a:noFill/>
                    <a:ln>
                      <a:noFill/>
                    </a:ln>
                    <a:extLst>
                      <a:ext uri="{53640926-AAD7-44D8-BBD7-CCE9431645EC}">
                        <a14:shadowObscured xmlns:a14="http://schemas.microsoft.com/office/drawing/2010/main"/>
                      </a:ext>
                    </a:extLst>
                  </pic:spPr>
                </pic:pic>
              </a:graphicData>
            </a:graphic>
          </wp:inline>
        </w:drawing>
      </w:r>
    </w:p>
    <w:p w14:paraId="1E7BF944" w14:textId="43A1BF84" w:rsidR="00E7098F" w:rsidRDefault="00E7482F" w:rsidP="00E7098F">
      <w:pPr>
        <w:spacing w:line="360" w:lineRule="auto"/>
        <w:ind w:firstLine="0"/>
        <w:jc w:val="both"/>
        <w:rPr>
          <w:sz w:val="22"/>
          <w:szCs w:val="18"/>
        </w:rPr>
      </w:pPr>
      <w:r>
        <w:rPr>
          <w:bCs/>
          <w:sz w:val="22"/>
          <w:szCs w:val="18"/>
          <w:lang w:val="en-GB"/>
        </w:rPr>
        <w:t xml:space="preserve">Fig. S11. </w:t>
      </w:r>
      <w:r w:rsidR="00E7098F">
        <w:rPr>
          <w:bCs/>
          <w:sz w:val="22"/>
          <w:szCs w:val="18"/>
          <w:lang w:val="en-GB"/>
        </w:rPr>
        <w:t>Z</w:t>
      </w:r>
      <w:r w:rsidR="00A21C13">
        <w:rPr>
          <w:bCs/>
          <w:sz w:val="22"/>
          <w:szCs w:val="18"/>
          <w:lang w:val="en-GB"/>
        </w:rPr>
        <w:t>onal</w:t>
      </w:r>
      <w:r w:rsidR="00E7098F">
        <w:rPr>
          <w:bCs/>
          <w:sz w:val="22"/>
          <w:szCs w:val="18"/>
          <w:lang w:val="en-GB"/>
        </w:rPr>
        <w:t>ly averaged</w:t>
      </w:r>
      <w:r w:rsidR="00A21C13">
        <w:rPr>
          <w:bCs/>
          <w:sz w:val="22"/>
          <w:szCs w:val="18"/>
          <w:lang w:val="en-GB"/>
        </w:rPr>
        <w:t xml:space="preserve"> (</w:t>
      </w:r>
      <w:r w:rsidR="00A21C13">
        <w:rPr>
          <w:rFonts w:hint="eastAsia"/>
          <w:bCs/>
          <w:sz w:val="22"/>
          <w:szCs w:val="18"/>
          <w:lang w:val="en-GB" w:eastAsia="zh-CN"/>
        </w:rPr>
        <w:t>over</w:t>
      </w:r>
      <w:r w:rsidR="00A21C13">
        <w:rPr>
          <w:bCs/>
          <w:sz w:val="22"/>
          <w:szCs w:val="18"/>
          <w:lang w:val="en-GB"/>
        </w:rPr>
        <w:t xml:space="preserve"> 110</w:t>
      </w:r>
      <w:r w:rsidR="00A21C13">
        <w:rPr>
          <w:rFonts w:hint="eastAsia"/>
          <w:bCs/>
          <w:sz w:val="22"/>
          <w:szCs w:val="18"/>
          <w:lang w:val="en-GB" w:eastAsia="zh-CN"/>
        </w:rPr>
        <w:t>-120</w:t>
      </w:r>
      <w:r w:rsidR="00A21C13" w:rsidRPr="00A21C13">
        <w:rPr>
          <w:bCs/>
          <w:sz w:val="22"/>
          <w:szCs w:val="18"/>
          <w:vertAlign w:val="superscript"/>
          <w:lang w:val="en-GB" w:eastAsia="zh-CN"/>
        </w:rPr>
        <w:t>°</w:t>
      </w:r>
      <w:r w:rsidR="00A21C13">
        <w:rPr>
          <w:rFonts w:hint="eastAsia"/>
          <w:bCs/>
          <w:sz w:val="22"/>
          <w:szCs w:val="18"/>
          <w:lang w:val="en-GB" w:eastAsia="zh-CN"/>
        </w:rPr>
        <w:t>E</w:t>
      </w:r>
      <w:r w:rsidR="00A21C13">
        <w:rPr>
          <w:bCs/>
          <w:sz w:val="22"/>
          <w:szCs w:val="18"/>
          <w:lang w:val="en-GB"/>
        </w:rPr>
        <w:t>)</w:t>
      </w:r>
      <w:r w:rsidR="00A21C13" w:rsidRPr="00A21C13">
        <w:rPr>
          <w:bCs/>
          <w:sz w:val="22"/>
          <w:szCs w:val="18"/>
          <w:lang w:val="en-GB"/>
        </w:rPr>
        <w:t xml:space="preserve"> </w:t>
      </w:r>
      <w:r w:rsidR="00E7098F">
        <w:rPr>
          <w:bCs/>
          <w:sz w:val="22"/>
          <w:szCs w:val="18"/>
          <w:lang w:val="en-GB"/>
        </w:rPr>
        <w:t xml:space="preserve">seasonal mean </w:t>
      </w:r>
      <w:r w:rsidR="00A21C13" w:rsidRPr="00A21C13">
        <w:rPr>
          <w:bCs/>
          <w:sz w:val="22"/>
          <w:szCs w:val="18"/>
          <w:lang w:val="en-GB"/>
        </w:rPr>
        <w:t>fields during ONDJFM</w:t>
      </w:r>
      <w:r w:rsidR="00A21C13">
        <w:rPr>
          <w:rFonts w:hint="eastAsia"/>
          <w:bCs/>
          <w:sz w:val="22"/>
          <w:szCs w:val="18"/>
          <w:lang w:val="en-GB" w:eastAsia="zh-CN"/>
        </w:rPr>
        <w:t xml:space="preserve">, </w:t>
      </w:r>
      <w:r w:rsidR="00A21C13">
        <w:rPr>
          <w:bCs/>
          <w:sz w:val="22"/>
          <w:szCs w:val="18"/>
          <w:lang w:val="en-GB" w:eastAsia="zh-CN"/>
        </w:rPr>
        <w:t xml:space="preserve">including relative vorticity and winds (a, e), moist static instability (b, f), specific humidity </w:t>
      </w:r>
      <w:r w:rsidR="00E7098F">
        <w:rPr>
          <w:bCs/>
          <w:sz w:val="22"/>
          <w:szCs w:val="18"/>
          <w:lang w:val="en-GB" w:eastAsia="zh-CN"/>
        </w:rPr>
        <w:t xml:space="preserve">(c, g) and air temperature (d, h): </w:t>
      </w:r>
      <w:r w:rsidR="00E7098F">
        <w:rPr>
          <w:sz w:val="22"/>
          <w:szCs w:val="18"/>
        </w:rPr>
        <w:t xml:space="preserve">a-d, ensemble mean for the historical period during 1979-1999. e-h, ensemble mean for the projected absolute changes for SSP5-85 (2030-2050) relative to the historical period. Stippling </w:t>
      </w:r>
      <w:proofErr w:type="gramStart"/>
      <w:r w:rsidR="00E7098F">
        <w:rPr>
          <w:sz w:val="22"/>
          <w:szCs w:val="18"/>
        </w:rPr>
        <w:t>indicate</w:t>
      </w:r>
      <w:proofErr w:type="gramEnd"/>
      <w:r w:rsidR="00E7098F">
        <w:rPr>
          <w:sz w:val="22"/>
          <w:szCs w:val="18"/>
        </w:rPr>
        <w:t xml:space="preserve"> statistically significant changes with confidence levels above 90% (black) and 95% (green).</w:t>
      </w:r>
    </w:p>
    <w:p w14:paraId="5EFEE95E" w14:textId="4703876D" w:rsidR="00E7482F" w:rsidRDefault="00E7482F" w:rsidP="00E7482F">
      <w:pPr>
        <w:spacing w:line="360" w:lineRule="auto"/>
        <w:ind w:firstLine="0"/>
        <w:jc w:val="center"/>
      </w:pPr>
      <w:r>
        <w:rPr>
          <w:noProof/>
        </w:rPr>
        <w:drawing>
          <wp:inline distT="0" distB="0" distL="0" distR="0" wp14:anchorId="66F11ACA" wp14:editId="79E5F99D">
            <wp:extent cx="3164470" cy="3274828"/>
            <wp:effectExtent l="0" t="0" r="0"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b="1330"/>
                    <a:stretch/>
                  </pic:blipFill>
                  <pic:spPr bwMode="auto">
                    <a:xfrm>
                      <a:off x="0" y="0"/>
                      <a:ext cx="3179594" cy="3290480"/>
                    </a:xfrm>
                    <a:prstGeom prst="rect">
                      <a:avLst/>
                    </a:prstGeom>
                    <a:noFill/>
                    <a:ln>
                      <a:noFill/>
                    </a:ln>
                    <a:extLst>
                      <a:ext uri="{53640926-AAD7-44D8-BBD7-CCE9431645EC}">
                        <a14:shadowObscured xmlns:a14="http://schemas.microsoft.com/office/drawing/2010/main"/>
                      </a:ext>
                    </a:extLst>
                  </pic:spPr>
                </pic:pic>
              </a:graphicData>
            </a:graphic>
          </wp:inline>
        </w:drawing>
      </w:r>
    </w:p>
    <w:p w14:paraId="02ED2707" w14:textId="1BA8E8C2" w:rsidR="00E7482F" w:rsidRDefault="00E7482F" w:rsidP="00E7098F">
      <w:pPr>
        <w:spacing w:line="360" w:lineRule="auto"/>
        <w:ind w:firstLine="0"/>
        <w:jc w:val="both"/>
        <w:rPr>
          <w:sz w:val="22"/>
          <w:szCs w:val="18"/>
        </w:rPr>
      </w:pPr>
      <w:r>
        <w:rPr>
          <w:bCs/>
          <w:sz w:val="22"/>
          <w:szCs w:val="18"/>
          <w:lang w:val="en-GB"/>
        </w:rPr>
        <w:t xml:space="preserve">Fig. S12. </w:t>
      </w:r>
      <w:r w:rsidR="00E7098F">
        <w:rPr>
          <w:sz w:val="22"/>
          <w:szCs w:val="18"/>
        </w:rPr>
        <w:t>Seasonal mean fields of</w:t>
      </w:r>
      <w:r w:rsidR="00E7098F" w:rsidRPr="00E7098F">
        <w:t xml:space="preserve"> </w:t>
      </w:r>
      <w:r w:rsidR="00E7098F" w:rsidRPr="00E7098F">
        <w:rPr>
          <w:sz w:val="22"/>
          <w:szCs w:val="18"/>
        </w:rPr>
        <w:t>the barotropic (</w:t>
      </w:r>
      <w:r w:rsidR="00E7098F" w:rsidRPr="00E7098F">
        <w:rPr>
          <w:i/>
          <w:iCs/>
          <w:sz w:val="22"/>
          <w:szCs w:val="18"/>
        </w:rPr>
        <w:t>MPV</w:t>
      </w:r>
      <w:r w:rsidR="00E7098F" w:rsidRPr="00E7098F">
        <w:rPr>
          <w:i/>
          <w:iCs/>
          <w:sz w:val="22"/>
          <w:szCs w:val="18"/>
          <w:vertAlign w:val="subscript"/>
        </w:rPr>
        <w:t>1</w:t>
      </w:r>
      <w:r w:rsidR="00E7098F" w:rsidRPr="00E7098F">
        <w:rPr>
          <w:sz w:val="22"/>
          <w:szCs w:val="18"/>
        </w:rPr>
        <w:t>, a, c) and baroclinic moist potential vorticity (</w:t>
      </w:r>
      <w:r w:rsidR="00E7098F" w:rsidRPr="00E7098F">
        <w:rPr>
          <w:i/>
          <w:iCs/>
          <w:sz w:val="22"/>
          <w:szCs w:val="18"/>
        </w:rPr>
        <w:t>MPV</w:t>
      </w:r>
      <w:r w:rsidR="00E7098F" w:rsidRPr="00E7098F">
        <w:rPr>
          <w:i/>
          <w:iCs/>
          <w:sz w:val="22"/>
          <w:szCs w:val="18"/>
          <w:vertAlign w:val="subscript"/>
        </w:rPr>
        <w:t>2</w:t>
      </w:r>
      <w:r w:rsidR="00E7098F">
        <w:rPr>
          <w:sz w:val="22"/>
          <w:szCs w:val="18"/>
        </w:rPr>
        <w:t xml:space="preserve">, c, d) </w:t>
      </w:r>
      <w:r w:rsidR="00E7098F" w:rsidRPr="00A21C13">
        <w:rPr>
          <w:bCs/>
          <w:sz w:val="22"/>
          <w:szCs w:val="18"/>
          <w:lang w:val="en-GB"/>
        </w:rPr>
        <w:t>during ONDJFM</w:t>
      </w:r>
      <w:r w:rsidR="00E7098F">
        <w:rPr>
          <w:bCs/>
          <w:sz w:val="22"/>
          <w:szCs w:val="18"/>
          <w:lang w:val="en-GB" w:eastAsia="zh-CN"/>
        </w:rPr>
        <w:t xml:space="preserve">: </w:t>
      </w:r>
      <w:r w:rsidR="00E7098F">
        <w:rPr>
          <w:sz w:val="22"/>
          <w:szCs w:val="18"/>
        </w:rPr>
        <w:t xml:space="preserve">a, b, ensemble mean for the historical period during 1979-1999. c, d, </w:t>
      </w:r>
      <w:r w:rsidR="00143D1F">
        <w:rPr>
          <w:sz w:val="22"/>
          <w:szCs w:val="18"/>
        </w:rPr>
        <w:t>t</w:t>
      </w:r>
      <w:r w:rsidR="00E7098F">
        <w:rPr>
          <w:sz w:val="22"/>
          <w:szCs w:val="18"/>
        </w:rPr>
        <w:t xml:space="preserve">he projected absolute changes for SSP5-85 (2030-2050) relative to the historical period. Stippling </w:t>
      </w:r>
      <w:r w:rsidR="0007415F">
        <w:rPr>
          <w:sz w:val="22"/>
          <w:szCs w:val="18"/>
        </w:rPr>
        <w:t>indicates</w:t>
      </w:r>
      <w:r w:rsidR="00E7098F">
        <w:rPr>
          <w:sz w:val="22"/>
          <w:szCs w:val="18"/>
        </w:rPr>
        <w:t xml:space="preserve"> statistically significant changes with confidence levels above 90% (black) and 95% (red).</w:t>
      </w:r>
      <w:r w:rsidR="00143D1F">
        <w:rPr>
          <w:sz w:val="22"/>
          <w:szCs w:val="18"/>
        </w:rPr>
        <w:t xml:space="preserve"> See Methods for definitions of </w:t>
      </w:r>
      <w:r w:rsidR="00143D1F" w:rsidRPr="00143D1F">
        <w:rPr>
          <w:i/>
          <w:iCs/>
          <w:sz w:val="22"/>
          <w:szCs w:val="18"/>
        </w:rPr>
        <w:t>MPV</w:t>
      </w:r>
      <w:r w:rsidR="00143D1F" w:rsidRPr="00143D1F">
        <w:rPr>
          <w:i/>
          <w:iCs/>
          <w:sz w:val="22"/>
          <w:szCs w:val="18"/>
          <w:vertAlign w:val="subscript"/>
        </w:rPr>
        <w:t>1</w:t>
      </w:r>
      <w:r w:rsidR="00143D1F">
        <w:rPr>
          <w:sz w:val="22"/>
          <w:szCs w:val="18"/>
        </w:rPr>
        <w:t xml:space="preserve"> and </w:t>
      </w:r>
      <w:r w:rsidR="00143D1F" w:rsidRPr="00143D1F">
        <w:rPr>
          <w:i/>
          <w:iCs/>
          <w:sz w:val="22"/>
          <w:szCs w:val="18"/>
        </w:rPr>
        <w:t>MPV</w:t>
      </w:r>
      <w:r w:rsidR="00143D1F" w:rsidRPr="00143D1F">
        <w:rPr>
          <w:i/>
          <w:iCs/>
          <w:sz w:val="22"/>
          <w:szCs w:val="18"/>
          <w:vertAlign w:val="subscript"/>
        </w:rPr>
        <w:t>2</w:t>
      </w:r>
    </w:p>
    <w:p w14:paraId="2162A356" w14:textId="32149B23" w:rsidR="00F77A1F" w:rsidRPr="00F77A1F" w:rsidRDefault="00F77A1F" w:rsidP="00E7098F">
      <w:pPr>
        <w:spacing w:line="360" w:lineRule="auto"/>
        <w:ind w:firstLine="0"/>
        <w:jc w:val="both"/>
        <w:rPr>
          <w:b/>
          <w:bCs/>
          <w:sz w:val="22"/>
          <w:szCs w:val="18"/>
          <w:lang w:eastAsia="zh-CN"/>
        </w:rPr>
      </w:pPr>
      <w:r w:rsidRPr="00F77A1F">
        <w:rPr>
          <w:rFonts w:hint="eastAsia"/>
          <w:b/>
          <w:bCs/>
          <w:sz w:val="22"/>
          <w:szCs w:val="18"/>
          <w:lang w:eastAsia="zh-CN"/>
        </w:rPr>
        <w:t>R</w:t>
      </w:r>
      <w:r w:rsidRPr="00F77A1F">
        <w:rPr>
          <w:b/>
          <w:bCs/>
          <w:sz w:val="22"/>
          <w:szCs w:val="18"/>
          <w:lang w:eastAsia="zh-CN"/>
        </w:rPr>
        <w:t>eferences</w:t>
      </w:r>
    </w:p>
    <w:p w14:paraId="5B906634" w14:textId="178881D8" w:rsidR="00F77A1F" w:rsidRDefault="00F77A1F" w:rsidP="00F77A1F">
      <w:pPr>
        <w:pStyle w:val="ad"/>
        <w:numPr>
          <w:ilvl w:val="0"/>
          <w:numId w:val="2"/>
        </w:numPr>
        <w:spacing w:line="360" w:lineRule="auto"/>
        <w:ind w:firstLineChars="0"/>
        <w:jc w:val="both"/>
      </w:pPr>
      <w:bookmarkStart w:id="7" w:name="_Ref103555709"/>
      <w:r>
        <w:t xml:space="preserve">Liang, J. </w:t>
      </w:r>
      <w:r w:rsidRPr="00F77A1F">
        <w:rPr>
          <w:i/>
          <w:iCs/>
        </w:rPr>
        <w:t>et al.</w:t>
      </w:r>
      <w:r>
        <w:t xml:space="preserve"> Climatology of Borneo Vortices in the HadGEM3-GC31 general circulation model. </w:t>
      </w:r>
      <w:r w:rsidRPr="00F77A1F">
        <w:rPr>
          <w:i/>
          <w:iCs/>
        </w:rPr>
        <w:t xml:space="preserve">J. </w:t>
      </w:r>
      <w:proofErr w:type="spellStart"/>
      <w:r w:rsidRPr="00F77A1F">
        <w:rPr>
          <w:i/>
          <w:iCs/>
        </w:rPr>
        <w:t>Clim</w:t>
      </w:r>
      <w:proofErr w:type="spellEnd"/>
      <w:r w:rsidRPr="00F77A1F">
        <w:rPr>
          <w:i/>
          <w:iCs/>
        </w:rPr>
        <w:t>.</w:t>
      </w:r>
      <w:r>
        <w:t xml:space="preserve"> </w:t>
      </w:r>
      <w:r w:rsidRPr="00F77A1F">
        <w:rPr>
          <w:b/>
          <w:bCs/>
        </w:rPr>
        <w:t>34</w:t>
      </w:r>
      <w:r>
        <w:t>, 3401–3419 (2021).</w:t>
      </w:r>
      <w:bookmarkEnd w:id="7"/>
    </w:p>
    <w:p w14:paraId="05F15CF9" w14:textId="31F5740F" w:rsidR="00F77A1F" w:rsidRDefault="00F77A1F" w:rsidP="00F77A1F">
      <w:pPr>
        <w:pStyle w:val="ad"/>
        <w:numPr>
          <w:ilvl w:val="0"/>
          <w:numId w:val="2"/>
        </w:numPr>
        <w:spacing w:line="360" w:lineRule="auto"/>
        <w:ind w:firstLineChars="0"/>
        <w:jc w:val="both"/>
        <w:rPr>
          <w:lang w:eastAsia="zh-CN"/>
        </w:rPr>
      </w:pPr>
      <w:bookmarkStart w:id="8" w:name="_Ref103555774"/>
      <w:r w:rsidRPr="00DB7A61">
        <w:rPr>
          <w:lang w:val="de-DE"/>
        </w:rPr>
        <w:t xml:space="preserve">Rauscher, S. A. </w:t>
      </w:r>
      <w:r w:rsidRPr="00DB7A61">
        <w:rPr>
          <w:i/>
          <w:iCs/>
          <w:lang w:val="de-DE"/>
        </w:rPr>
        <w:t>et al.</w:t>
      </w:r>
      <w:r w:rsidRPr="00DB7A61">
        <w:rPr>
          <w:lang w:val="de-DE"/>
        </w:rPr>
        <w:t xml:space="preserve"> </w:t>
      </w:r>
      <w:r>
        <w:t xml:space="preserve">A </w:t>
      </w:r>
      <w:proofErr w:type="spellStart"/>
      <w:r>
        <w:t>multimodel</w:t>
      </w:r>
      <w:proofErr w:type="spellEnd"/>
      <w:r>
        <w:t xml:space="preserve"> intercomparison of resolution effects on precipitation: simulations and theory. </w:t>
      </w:r>
      <w:proofErr w:type="spellStart"/>
      <w:r>
        <w:rPr>
          <w:i/>
          <w:iCs/>
        </w:rPr>
        <w:t>Clim</w:t>
      </w:r>
      <w:proofErr w:type="spellEnd"/>
      <w:r>
        <w:rPr>
          <w:i/>
          <w:iCs/>
        </w:rPr>
        <w:t xml:space="preserve">. </w:t>
      </w:r>
      <w:proofErr w:type="spellStart"/>
      <w:r>
        <w:rPr>
          <w:i/>
          <w:iCs/>
        </w:rPr>
        <w:t>Dyn</w:t>
      </w:r>
      <w:proofErr w:type="spellEnd"/>
      <w:r>
        <w:rPr>
          <w:i/>
          <w:iCs/>
        </w:rPr>
        <w:t>.</w:t>
      </w:r>
      <w:r>
        <w:t xml:space="preserve"> </w:t>
      </w:r>
      <w:r>
        <w:rPr>
          <w:b/>
          <w:bCs/>
        </w:rPr>
        <w:t>47</w:t>
      </w:r>
      <w:r>
        <w:t>, 2205–2218 (2016).</w:t>
      </w:r>
      <w:bookmarkEnd w:id="8"/>
    </w:p>
    <w:p w14:paraId="30721FB1" w14:textId="65A0577B" w:rsidR="00092753" w:rsidRDefault="00092753" w:rsidP="00F77A1F">
      <w:pPr>
        <w:pStyle w:val="ad"/>
        <w:numPr>
          <w:ilvl w:val="0"/>
          <w:numId w:val="2"/>
        </w:numPr>
        <w:spacing w:line="360" w:lineRule="auto"/>
        <w:ind w:firstLineChars="0"/>
        <w:jc w:val="both"/>
        <w:rPr>
          <w:lang w:eastAsia="zh-CN"/>
        </w:rPr>
      </w:pPr>
      <w:bookmarkStart w:id="9" w:name="_Ref103555940"/>
      <w:r w:rsidRPr="00DB7A61">
        <w:rPr>
          <w:lang w:val="fr-FR"/>
        </w:rPr>
        <w:t xml:space="preserve">Andrews, M. B. </w:t>
      </w:r>
      <w:r w:rsidRPr="00DB7A61">
        <w:rPr>
          <w:i/>
          <w:iCs/>
          <w:lang w:val="fr-FR"/>
        </w:rPr>
        <w:t>et al.</w:t>
      </w:r>
      <w:r w:rsidRPr="00DB7A61">
        <w:rPr>
          <w:lang w:val="fr-FR"/>
        </w:rPr>
        <w:t xml:space="preserve"> </w:t>
      </w:r>
      <w:r>
        <w:t xml:space="preserve">Historical simulations with HadGEM3-GC3.1 for CMIP6. </w:t>
      </w:r>
      <w:r>
        <w:rPr>
          <w:i/>
          <w:iCs/>
        </w:rPr>
        <w:t>J. Adv. Model. Earth Syst.</w:t>
      </w:r>
      <w:r>
        <w:t xml:space="preserve"> </w:t>
      </w:r>
      <w:r>
        <w:rPr>
          <w:b/>
          <w:bCs/>
        </w:rPr>
        <w:t>12</w:t>
      </w:r>
      <w:r>
        <w:t>, e2019MS001995 (2020).</w:t>
      </w:r>
      <w:bookmarkEnd w:id="9"/>
    </w:p>
    <w:p w14:paraId="5348FEF2" w14:textId="04F968A9" w:rsidR="00092753" w:rsidRDefault="00EA02BD" w:rsidP="00F77A1F">
      <w:pPr>
        <w:pStyle w:val="ad"/>
        <w:numPr>
          <w:ilvl w:val="0"/>
          <w:numId w:val="2"/>
        </w:numPr>
        <w:spacing w:line="360" w:lineRule="auto"/>
        <w:ind w:firstLineChars="0"/>
        <w:jc w:val="both"/>
        <w:rPr>
          <w:lang w:eastAsia="zh-CN"/>
        </w:rPr>
      </w:pPr>
      <w:bookmarkStart w:id="10" w:name="_Ref103556916"/>
      <w:proofErr w:type="spellStart"/>
      <w:r w:rsidRPr="00EA02BD">
        <w:rPr>
          <w:lang w:eastAsia="zh-CN"/>
        </w:rPr>
        <w:t>Voldoire</w:t>
      </w:r>
      <w:proofErr w:type="spellEnd"/>
      <w:r w:rsidRPr="00EA02BD">
        <w:rPr>
          <w:lang w:eastAsia="zh-CN"/>
        </w:rPr>
        <w:t xml:space="preserve">, A. </w:t>
      </w:r>
      <w:r w:rsidRPr="00EA02BD">
        <w:rPr>
          <w:i/>
          <w:iCs/>
          <w:lang w:eastAsia="zh-CN"/>
        </w:rPr>
        <w:t>et al.</w:t>
      </w:r>
      <w:r w:rsidRPr="00EA02BD">
        <w:rPr>
          <w:lang w:eastAsia="zh-CN"/>
        </w:rPr>
        <w:t xml:space="preserve"> Evaluation of CMIP6 DECK Experiments With CNRM-CM6-1. </w:t>
      </w:r>
      <w:r w:rsidRPr="00EA02BD">
        <w:rPr>
          <w:i/>
          <w:iCs/>
          <w:lang w:eastAsia="zh-CN"/>
        </w:rPr>
        <w:t>J. Adv. Model. Earth Syst.</w:t>
      </w:r>
      <w:r w:rsidRPr="00EA02BD">
        <w:rPr>
          <w:lang w:eastAsia="zh-CN"/>
        </w:rPr>
        <w:t xml:space="preserve"> </w:t>
      </w:r>
      <w:r w:rsidRPr="00EA02BD">
        <w:rPr>
          <w:b/>
          <w:bCs/>
          <w:lang w:eastAsia="zh-CN"/>
        </w:rPr>
        <w:t>11</w:t>
      </w:r>
      <w:r w:rsidRPr="00EA02BD">
        <w:rPr>
          <w:lang w:eastAsia="zh-CN"/>
        </w:rPr>
        <w:t>, 2177–2213 (2019).</w:t>
      </w:r>
      <w:bookmarkEnd w:id="10"/>
    </w:p>
    <w:p w14:paraId="0CF6401C" w14:textId="3BE5108F" w:rsidR="00092753" w:rsidRDefault="00092753" w:rsidP="00F77A1F">
      <w:pPr>
        <w:pStyle w:val="ad"/>
        <w:numPr>
          <w:ilvl w:val="0"/>
          <w:numId w:val="2"/>
        </w:numPr>
        <w:spacing w:line="360" w:lineRule="auto"/>
        <w:ind w:firstLineChars="0"/>
        <w:jc w:val="both"/>
        <w:rPr>
          <w:lang w:eastAsia="zh-CN"/>
        </w:rPr>
      </w:pPr>
      <w:bookmarkStart w:id="11" w:name="_Ref103556924"/>
      <w:proofErr w:type="spellStart"/>
      <w:r w:rsidRPr="00092753">
        <w:rPr>
          <w:lang w:eastAsia="zh-CN"/>
        </w:rPr>
        <w:t>Haarsma</w:t>
      </w:r>
      <w:proofErr w:type="spellEnd"/>
      <w:r w:rsidRPr="00092753">
        <w:rPr>
          <w:lang w:eastAsia="zh-CN"/>
        </w:rPr>
        <w:t xml:space="preserve">, R. </w:t>
      </w:r>
      <w:r w:rsidRPr="00092753">
        <w:rPr>
          <w:i/>
          <w:iCs/>
          <w:lang w:eastAsia="zh-CN"/>
        </w:rPr>
        <w:t>et al.</w:t>
      </w:r>
      <w:r w:rsidRPr="00092753">
        <w:rPr>
          <w:lang w:eastAsia="zh-CN"/>
        </w:rPr>
        <w:t xml:space="preserve"> </w:t>
      </w:r>
      <w:proofErr w:type="spellStart"/>
      <w:r w:rsidRPr="00092753">
        <w:rPr>
          <w:lang w:eastAsia="zh-CN"/>
        </w:rPr>
        <w:t>HighResMIP</w:t>
      </w:r>
      <w:proofErr w:type="spellEnd"/>
      <w:r w:rsidRPr="00092753">
        <w:rPr>
          <w:lang w:eastAsia="zh-CN"/>
        </w:rPr>
        <w:t xml:space="preserve"> versions of EC-Earth: EC-Earth3P and EC-Earth3P-HR - Description, model computational performance and basic validation. </w:t>
      </w:r>
      <w:proofErr w:type="spellStart"/>
      <w:r w:rsidRPr="00092753">
        <w:rPr>
          <w:i/>
          <w:iCs/>
          <w:lang w:eastAsia="zh-CN"/>
        </w:rPr>
        <w:t>Geosci</w:t>
      </w:r>
      <w:proofErr w:type="spellEnd"/>
      <w:r w:rsidRPr="00092753">
        <w:rPr>
          <w:i/>
          <w:iCs/>
          <w:lang w:eastAsia="zh-CN"/>
        </w:rPr>
        <w:t>. Model Dev.</w:t>
      </w:r>
      <w:r w:rsidRPr="00092753">
        <w:rPr>
          <w:lang w:eastAsia="zh-CN"/>
        </w:rPr>
        <w:t xml:space="preserve"> </w:t>
      </w:r>
      <w:r w:rsidRPr="00092753">
        <w:rPr>
          <w:b/>
          <w:bCs/>
          <w:lang w:eastAsia="zh-CN"/>
        </w:rPr>
        <w:t>13</w:t>
      </w:r>
      <w:r w:rsidRPr="00092753">
        <w:rPr>
          <w:lang w:eastAsia="zh-CN"/>
        </w:rPr>
        <w:t>, 3507–3527 (2020).</w:t>
      </w:r>
      <w:bookmarkEnd w:id="11"/>
    </w:p>
    <w:p w14:paraId="5DB9104B" w14:textId="6D64C812" w:rsidR="00EA02BD" w:rsidRDefault="00EA02BD" w:rsidP="00F77A1F">
      <w:pPr>
        <w:pStyle w:val="ad"/>
        <w:numPr>
          <w:ilvl w:val="0"/>
          <w:numId w:val="2"/>
        </w:numPr>
        <w:spacing w:line="360" w:lineRule="auto"/>
        <w:ind w:firstLineChars="0"/>
        <w:jc w:val="both"/>
        <w:rPr>
          <w:lang w:eastAsia="zh-CN"/>
        </w:rPr>
      </w:pPr>
      <w:bookmarkStart w:id="12" w:name="_Ref103556932"/>
      <w:r w:rsidRPr="00EA02BD">
        <w:rPr>
          <w:lang w:eastAsia="zh-CN"/>
        </w:rPr>
        <w:t xml:space="preserve">Mizuta, R. </w:t>
      </w:r>
      <w:r w:rsidRPr="00EA02BD">
        <w:rPr>
          <w:i/>
          <w:iCs/>
          <w:lang w:eastAsia="zh-CN"/>
        </w:rPr>
        <w:t>et al.</w:t>
      </w:r>
      <w:r w:rsidRPr="00EA02BD">
        <w:rPr>
          <w:lang w:eastAsia="zh-CN"/>
        </w:rPr>
        <w:t xml:space="preserve"> Climate simulations using MRI-AGCM3.2 with 20-km grid. </w:t>
      </w:r>
      <w:r w:rsidRPr="00EA02BD">
        <w:rPr>
          <w:i/>
          <w:iCs/>
          <w:lang w:eastAsia="zh-CN"/>
        </w:rPr>
        <w:t xml:space="preserve">J. </w:t>
      </w:r>
      <w:proofErr w:type="spellStart"/>
      <w:r w:rsidRPr="00EA02BD">
        <w:rPr>
          <w:i/>
          <w:iCs/>
          <w:lang w:eastAsia="zh-CN"/>
        </w:rPr>
        <w:t>Meteorol</w:t>
      </w:r>
      <w:proofErr w:type="spellEnd"/>
      <w:r w:rsidRPr="00EA02BD">
        <w:rPr>
          <w:i/>
          <w:iCs/>
          <w:lang w:eastAsia="zh-CN"/>
        </w:rPr>
        <w:t>. Soc. Japan</w:t>
      </w:r>
      <w:r w:rsidRPr="00EA02BD">
        <w:rPr>
          <w:lang w:eastAsia="zh-CN"/>
        </w:rPr>
        <w:t xml:space="preserve"> </w:t>
      </w:r>
      <w:r w:rsidRPr="00EA02BD">
        <w:rPr>
          <w:b/>
          <w:bCs/>
          <w:lang w:eastAsia="zh-CN"/>
        </w:rPr>
        <w:t>90</w:t>
      </w:r>
      <w:r w:rsidRPr="00EA02BD">
        <w:rPr>
          <w:lang w:eastAsia="zh-CN"/>
        </w:rPr>
        <w:t>, 233–258 (2012).</w:t>
      </w:r>
      <w:bookmarkEnd w:id="12"/>
    </w:p>
    <w:p w14:paraId="4E5C5B91" w14:textId="0C60FFC8" w:rsidR="00DC786B" w:rsidRDefault="00DC786B" w:rsidP="00F77A1F">
      <w:pPr>
        <w:pStyle w:val="ad"/>
        <w:numPr>
          <w:ilvl w:val="0"/>
          <w:numId w:val="2"/>
        </w:numPr>
        <w:spacing w:line="360" w:lineRule="auto"/>
        <w:ind w:firstLineChars="0"/>
        <w:jc w:val="both"/>
        <w:rPr>
          <w:lang w:eastAsia="zh-CN"/>
        </w:rPr>
      </w:pPr>
      <w:bookmarkStart w:id="13" w:name="_Ref106725390"/>
      <w:proofErr w:type="spellStart"/>
      <w:r>
        <w:t>Gutjahr</w:t>
      </w:r>
      <w:proofErr w:type="spellEnd"/>
      <w:r>
        <w:t xml:space="preserve">, O. </w:t>
      </w:r>
      <w:r>
        <w:rPr>
          <w:i/>
          <w:iCs/>
        </w:rPr>
        <w:t>et al.</w:t>
      </w:r>
      <w:r>
        <w:t xml:space="preserve"> Max Planck Institute Earth System Model (MPI-ESM1.2) for the High-Resolution Model Intercomparison Project (</w:t>
      </w:r>
      <w:proofErr w:type="spellStart"/>
      <w:r>
        <w:t>HighResMIP</w:t>
      </w:r>
      <w:proofErr w:type="spellEnd"/>
      <w:r>
        <w:t xml:space="preserve">). </w:t>
      </w:r>
      <w:proofErr w:type="spellStart"/>
      <w:r>
        <w:rPr>
          <w:i/>
          <w:iCs/>
        </w:rPr>
        <w:t>Geosci</w:t>
      </w:r>
      <w:proofErr w:type="spellEnd"/>
      <w:r>
        <w:rPr>
          <w:i/>
          <w:iCs/>
        </w:rPr>
        <w:t>. Model Dev.</w:t>
      </w:r>
      <w:r>
        <w:t xml:space="preserve"> </w:t>
      </w:r>
      <w:r>
        <w:rPr>
          <w:b/>
          <w:bCs/>
        </w:rPr>
        <w:t>12</w:t>
      </w:r>
      <w:r>
        <w:t>, 3241–3281 (2019).</w:t>
      </w:r>
      <w:bookmarkEnd w:id="13"/>
    </w:p>
    <w:p w14:paraId="24D5C650" w14:textId="4632EDAF" w:rsidR="00EA02BD" w:rsidRDefault="00EA02BD" w:rsidP="00F77A1F">
      <w:pPr>
        <w:pStyle w:val="ad"/>
        <w:numPr>
          <w:ilvl w:val="0"/>
          <w:numId w:val="2"/>
        </w:numPr>
        <w:spacing w:line="360" w:lineRule="auto"/>
        <w:ind w:firstLineChars="0"/>
        <w:jc w:val="both"/>
        <w:rPr>
          <w:lang w:eastAsia="zh-CN"/>
        </w:rPr>
      </w:pPr>
      <w:bookmarkStart w:id="14" w:name="_Ref103556945"/>
      <w:proofErr w:type="spellStart"/>
      <w:r w:rsidRPr="00EA02BD">
        <w:rPr>
          <w:lang w:eastAsia="zh-CN"/>
        </w:rPr>
        <w:t>Scoccimarro</w:t>
      </w:r>
      <w:proofErr w:type="spellEnd"/>
      <w:r w:rsidRPr="00EA02BD">
        <w:rPr>
          <w:lang w:eastAsia="zh-CN"/>
        </w:rPr>
        <w:t xml:space="preserve">, E. </w:t>
      </w:r>
      <w:r w:rsidRPr="00EA02BD">
        <w:rPr>
          <w:i/>
          <w:iCs/>
          <w:lang w:eastAsia="zh-CN"/>
        </w:rPr>
        <w:t>et al.</w:t>
      </w:r>
      <w:r w:rsidRPr="00EA02BD">
        <w:rPr>
          <w:lang w:eastAsia="zh-CN"/>
        </w:rPr>
        <w:t xml:space="preserve"> Extreme events representation in CMCC-CM2 standard and high-resolution general circulation models. </w:t>
      </w:r>
      <w:proofErr w:type="spellStart"/>
      <w:r w:rsidRPr="00EA02BD">
        <w:rPr>
          <w:i/>
          <w:iCs/>
          <w:lang w:eastAsia="zh-CN"/>
        </w:rPr>
        <w:t>Geosci</w:t>
      </w:r>
      <w:proofErr w:type="spellEnd"/>
      <w:r w:rsidRPr="00EA02BD">
        <w:rPr>
          <w:i/>
          <w:iCs/>
          <w:lang w:eastAsia="zh-CN"/>
        </w:rPr>
        <w:t>. Model Dev.</w:t>
      </w:r>
      <w:r w:rsidRPr="00EA02BD">
        <w:rPr>
          <w:lang w:eastAsia="zh-CN"/>
        </w:rPr>
        <w:t xml:space="preserve"> </w:t>
      </w:r>
      <w:r w:rsidRPr="00EA02BD">
        <w:rPr>
          <w:b/>
          <w:bCs/>
          <w:lang w:eastAsia="zh-CN"/>
        </w:rPr>
        <w:t>15</w:t>
      </w:r>
      <w:r w:rsidRPr="00EA02BD">
        <w:rPr>
          <w:lang w:eastAsia="zh-CN"/>
        </w:rPr>
        <w:t>, 1841–1854 (2022).</w:t>
      </w:r>
      <w:bookmarkEnd w:id="14"/>
    </w:p>
    <w:p w14:paraId="2AD5334F" w14:textId="7D548D30" w:rsidR="009842A3" w:rsidRDefault="009842A3" w:rsidP="00F77A1F">
      <w:pPr>
        <w:pStyle w:val="ad"/>
        <w:numPr>
          <w:ilvl w:val="0"/>
          <w:numId w:val="2"/>
        </w:numPr>
        <w:spacing w:line="360" w:lineRule="auto"/>
        <w:ind w:firstLineChars="0"/>
        <w:jc w:val="both"/>
        <w:rPr>
          <w:lang w:eastAsia="zh-CN"/>
        </w:rPr>
      </w:pPr>
      <w:bookmarkStart w:id="15" w:name="_Ref103608565"/>
      <w:proofErr w:type="spellStart"/>
      <w:r w:rsidRPr="009842A3">
        <w:rPr>
          <w:lang w:eastAsia="zh-CN"/>
        </w:rPr>
        <w:t>Trilaksono</w:t>
      </w:r>
      <w:proofErr w:type="spellEnd"/>
      <w:r w:rsidRPr="009842A3">
        <w:rPr>
          <w:lang w:eastAsia="zh-CN"/>
        </w:rPr>
        <w:t xml:space="preserve">, N. J., Otsuka, S. &amp; </w:t>
      </w:r>
      <w:proofErr w:type="spellStart"/>
      <w:r w:rsidRPr="009842A3">
        <w:rPr>
          <w:lang w:eastAsia="zh-CN"/>
        </w:rPr>
        <w:t>Yoden</w:t>
      </w:r>
      <w:proofErr w:type="spellEnd"/>
      <w:r w:rsidRPr="009842A3">
        <w:rPr>
          <w:lang w:eastAsia="zh-CN"/>
        </w:rPr>
        <w:t xml:space="preserve">, S. A time-lagged ensemble simulation on the modulation of precipitation over west Java in January-February 2007. </w:t>
      </w:r>
      <w:r w:rsidRPr="009842A3">
        <w:rPr>
          <w:i/>
          <w:iCs/>
          <w:lang w:eastAsia="zh-CN"/>
        </w:rPr>
        <w:t>Mon. Weather Rev.</w:t>
      </w:r>
      <w:r w:rsidRPr="009842A3">
        <w:rPr>
          <w:lang w:eastAsia="zh-CN"/>
        </w:rPr>
        <w:t xml:space="preserve"> </w:t>
      </w:r>
      <w:r w:rsidRPr="009842A3">
        <w:rPr>
          <w:b/>
          <w:bCs/>
          <w:lang w:eastAsia="zh-CN"/>
        </w:rPr>
        <w:t>140</w:t>
      </w:r>
      <w:r w:rsidRPr="009842A3">
        <w:rPr>
          <w:lang w:eastAsia="zh-CN"/>
        </w:rPr>
        <w:t>, 601–616 (2012).</w:t>
      </w:r>
      <w:bookmarkEnd w:id="15"/>
    </w:p>
    <w:p w14:paraId="2FB972CF" w14:textId="08A42AB3" w:rsidR="009842A3" w:rsidRDefault="009842A3" w:rsidP="00F77A1F">
      <w:pPr>
        <w:pStyle w:val="ad"/>
        <w:numPr>
          <w:ilvl w:val="0"/>
          <w:numId w:val="2"/>
        </w:numPr>
        <w:spacing w:line="360" w:lineRule="auto"/>
        <w:ind w:firstLineChars="0"/>
        <w:jc w:val="both"/>
        <w:rPr>
          <w:lang w:eastAsia="zh-CN"/>
        </w:rPr>
      </w:pPr>
      <w:bookmarkStart w:id="16" w:name="_Ref103608566"/>
      <w:proofErr w:type="spellStart"/>
      <w:r w:rsidRPr="009842A3">
        <w:rPr>
          <w:lang w:eastAsia="zh-CN"/>
        </w:rPr>
        <w:t>Koseki</w:t>
      </w:r>
      <w:proofErr w:type="spellEnd"/>
      <w:r w:rsidRPr="009842A3">
        <w:rPr>
          <w:lang w:eastAsia="zh-CN"/>
        </w:rPr>
        <w:t xml:space="preserve">, S., Koh, T. Y. &amp; Teo, C. K. Borneo vortex and mesoscale convective rainfall. </w:t>
      </w:r>
      <w:r w:rsidRPr="009842A3">
        <w:rPr>
          <w:i/>
          <w:iCs/>
          <w:lang w:eastAsia="zh-CN"/>
        </w:rPr>
        <w:t>Atmos. Chem. Phys.</w:t>
      </w:r>
      <w:r w:rsidRPr="009842A3">
        <w:rPr>
          <w:lang w:eastAsia="zh-CN"/>
        </w:rPr>
        <w:t xml:space="preserve"> </w:t>
      </w:r>
      <w:r w:rsidRPr="009842A3">
        <w:rPr>
          <w:b/>
          <w:bCs/>
          <w:lang w:eastAsia="zh-CN"/>
        </w:rPr>
        <w:t>14</w:t>
      </w:r>
      <w:r w:rsidRPr="009842A3">
        <w:rPr>
          <w:lang w:eastAsia="zh-CN"/>
        </w:rPr>
        <w:t>, 4539–4562 (2014).</w:t>
      </w:r>
      <w:bookmarkEnd w:id="16"/>
    </w:p>
    <w:p w14:paraId="109C9CC5" w14:textId="77777777" w:rsidR="00092753" w:rsidRDefault="00092753" w:rsidP="00092753">
      <w:pPr>
        <w:spacing w:line="360" w:lineRule="auto"/>
        <w:jc w:val="both"/>
        <w:rPr>
          <w:lang w:eastAsia="zh-CN"/>
        </w:rPr>
      </w:pPr>
    </w:p>
    <w:sectPr w:rsidR="0009275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4959B" w14:textId="77777777" w:rsidR="00F367D5" w:rsidRDefault="00F367D5">
      <w:pPr>
        <w:spacing w:line="240" w:lineRule="auto"/>
      </w:pPr>
      <w:r>
        <w:separator/>
      </w:r>
    </w:p>
  </w:endnote>
  <w:endnote w:type="continuationSeparator" w:id="0">
    <w:p w14:paraId="473E44F0" w14:textId="77777777" w:rsidR="00F367D5" w:rsidRDefault="00F367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938CF1" w14:textId="77777777" w:rsidR="00F367D5" w:rsidRDefault="00F367D5">
      <w:pPr>
        <w:spacing w:before="0" w:after="0"/>
      </w:pPr>
      <w:r>
        <w:separator/>
      </w:r>
    </w:p>
  </w:footnote>
  <w:footnote w:type="continuationSeparator" w:id="0">
    <w:p w14:paraId="69B9780C" w14:textId="77777777" w:rsidR="00F367D5" w:rsidRDefault="00F367D5">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6F93587"/>
    <w:multiLevelType w:val="hybridMultilevel"/>
    <w:tmpl w:val="A68CF85C"/>
    <w:lvl w:ilvl="0" w:tplc="2F0AF3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6D854949"/>
    <w:multiLevelType w:val="hybridMultilevel"/>
    <w:tmpl w:val="6D6E8C10"/>
    <w:lvl w:ilvl="0" w:tplc="5E5AFCF8">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58683724">
    <w:abstractNumId w:val="0"/>
  </w:num>
  <w:num w:numId="2" w16cid:durableId="29120760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49E7"/>
    <w:rsid w:val="000171E3"/>
    <w:rsid w:val="00063310"/>
    <w:rsid w:val="0007415F"/>
    <w:rsid w:val="00092753"/>
    <w:rsid w:val="000E0AC4"/>
    <w:rsid w:val="00143D1F"/>
    <w:rsid w:val="001727D9"/>
    <w:rsid w:val="001C7973"/>
    <w:rsid w:val="001D5C4C"/>
    <w:rsid w:val="00221658"/>
    <w:rsid w:val="002A7BFB"/>
    <w:rsid w:val="002B4A5C"/>
    <w:rsid w:val="002C2AF4"/>
    <w:rsid w:val="002C7B7B"/>
    <w:rsid w:val="003010F1"/>
    <w:rsid w:val="003058AB"/>
    <w:rsid w:val="00316679"/>
    <w:rsid w:val="0033079A"/>
    <w:rsid w:val="003410C8"/>
    <w:rsid w:val="00341446"/>
    <w:rsid w:val="00363B71"/>
    <w:rsid w:val="00371444"/>
    <w:rsid w:val="00380CBE"/>
    <w:rsid w:val="00381358"/>
    <w:rsid w:val="00397308"/>
    <w:rsid w:val="003A3C43"/>
    <w:rsid w:val="003B22DC"/>
    <w:rsid w:val="003D2DA8"/>
    <w:rsid w:val="003E1AE2"/>
    <w:rsid w:val="00407EF8"/>
    <w:rsid w:val="0044262A"/>
    <w:rsid w:val="004840AF"/>
    <w:rsid w:val="00495D4C"/>
    <w:rsid w:val="004B6E31"/>
    <w:rsid w:val="004C5855"/>
    <w:rsid w:val="004D158A"/>
    <w:rsid w:val="00501BC3"/>
    <w:rsid w:val="005028AB"/>
    <w:rsid w:val="00540DC8"/>
    <w:rsid w:val="00554338"/>
    <w:rsid w:val="00562389"/>
    <w:rsid w:val="005661FF"/>
    <w:rsid w:val="00592488"/>
    <w:rsid w:val="00595E3D"/>
    <w:rsid w:val="005D4E28"/>
    <w:rsid w:val="005E5C7E"/>
    <w:rsid w:val="006462A6"/>
    <w:rsid w:val="00664B64"/>
    <w:rsid w:val="00676F34"/>
    <w:rsid w:val="006863DB"/>
    <w:rsid w:val="006A1122"/>
    <w:rsid w:val="006D4FF5"/>
    <w:rsid w:val="006E314B"/>
    <w:rsid w:val="006F2C45"/>
    <w:rsid w:val="006F79B6"/>
    <w:rsid w:val="007141FB"/>
    <w:rsid w:val="007200A6"/>
    <w:rsid w:val="00730350"/>
    <w:rsid w:val="00793A1A"/>
    <w:rsid w:val="007C6440"/>
    <w:rsid w:val="007D1B92"/>
    <w:rsid w:val="00827BC2"/>
    <w:rsid w:val="00830A87"/>
    <w:rsid w:val="008324C6"/>
    <w:rsid w:val="00845B0B"/>
    <w:rsid w:val="00851421"/>
    <w:rsid w:val="008524E6"/>
    <w:rsid w:val="00853E8E"/>
    <w:rsid w:val="008676E6"/>
    <w:rsid w:val="008C2C54"/>
    <w:rsid w:val="00906304"/>
    <w:rsid w:val="00945B42"/>
    <w:rsid w:val="0095770C"/>
    <w:rsid w:val="009755C7"/>
    <w:rsid w:val="009842A3"/>
    <w:rsid w:val="00987EDE"/>
    <w:rsid w:val="0099072F"/>
    <w:rsid w:val="009A1C82"/>
    <w:rsid w:val="009A482F"/>
    <w:rsid w:val="009D16EE"/>
    <w:rsid w:val="009D3F65"/>
    <w:rsid w:val="009E658C"/>
    <w:rsid w:val="009F0030"/>
    <w:rsid w:val="009F0AEF"/>
    <w:rsid w:val="00A21C13"/>
    <w:rsid w:val="00A62CD5"/>
    <w:rsid w:val="00AA2476"/>
    <w:rsid w:val="00AC0ADF"/>
    <w:rsid w:val="00B1732F"/>
    <w:rsid w:val="00B71B24"/>
    <w:rsid w:val="00B97745"/>
    <w:rsid w:val="00BD55A8"/>
    <w:rsid w:val="00BF05C5"/>
    <w:rsid w:val="00BF0E75"/>
    <w:rsid w:val="00BF7827"/>
    <w:rsid w:val="00C00E37"/>
    <w:rsid w:val="00C13A9C"/>
    <w:rsid w:val="00C60719"/>
    <w:rsid w:val="00C625A0"/>
    <w:rsid w:val="00CB7165"/>
    <w:rsid w:val="00CC573C"/>
    <w:rsid w:val="00CC7137"/>
    <w:rsid w:val="00CD4E88"/>
    <w:rsid w:val="00CE0611"/>
    <w:rsid w:val="00CE3AE6"/>
    <w:rsid w:val="00D00058"/>
    <w:rsid w:val="00D069B8"/>
    <w:rsid w:val="00D1611B"/>
    <w:rsid w:val="00D20A6C"/>
    <w:rsid w:val="00D4713B"/>
    <w:rsid w:val="00D50BCD"/>
    <w:rsid w:val="00D8018D"/>
    <w:rsid w:val="00DA693C"/>
    <w:rsid w:val="00DB7A61"/>
    <w:rsid w:val="00DC2D00"/>
    <w:rsid w:val="00DC786B"/>
    <w:rsid w:val="00DD2BCD"/>
    <w:rsid w:val="00DE238B"/>
    <w:rsid w:val="00E12633"/>
    <w:rsid w:val="00E548E0"/>
    <w:rsid w:val="00E60705"/>
    <w:rsid w:val="00E7098F"/>
    <w:rsid w:val="00E7482F"/>
    <w:rsid w:val="00E92B87"/>
    <w:rsid w:val="00EA02BD"/>
    <w:rsid w:val="00ED0B8C"/>
    <w:rsid w:val="00ED2165"/>
    <w:rsid w:val="00EE482F"/>
    <w:rsid w:val="00EE49E7"/>
    <w:rsid w:val="00EE7F1D"/>
    <w:rsid w:val="00EF1068"/>
    <w:rsid w:val="00F03EED"/>
    <w:rsid w:val="00F10440"/>
    <w:rsid w:val="00F22A84"/>
    <w:rsid w:val="00F367D5"/>
    <w:rsid w:val="00F56D3B"/>
    <w:rsid w:val="00F77A1F"/>
    <w:rsid w:val="00FB7A73"/>
    <w:rsid w:val="00FC7BFE"/>
    <w:rsid w:val="00FE276C"/>
    <w:rsid w:val="08CF7C59"/>
    <w:rsid w:val="2CC50ABF"/>
    <w:rsid w:val="37EF3111"/>
    <w:rsid w:val="3BC11474"/>
    <w:rsid w:val="416D4D9F"/>
    <w:rsid w:val="43F05A80"/>
    <w:rsid w:val="4B1C5FBA"/>
    <w:rsid w:val="59434C79"/>
    <w:rsid w:val="6AF11C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5E8606"/>
  <w14:defaultImageDpi w14:val="32767"/>
  <w15:docId w15:val="{37C67993-2CFE-4EC3-8C06-43B2EC711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napToGrid w:val="0"/>
      <w:spacing w:before="120" w:after="120" w:line="480" w:lineRule="auto"/>
      <w:ind w:firstLine="360"/>
    </w:pPr>
    <w:rPr>
      <w:rFonts w:ascii="Times New Roman" w:hAnsi="Times New Roman" w:cs="Times New Roman"/>
      <w:sz w:val="24"/>
      <w:lang w:eastAsia="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style>
  <w:style w:type="paragraph" w:styleId="a5">
    <w:name w:val="footer"/>
    <w:basedOn w:val="a"/>
    <w:link w:val="a6"/>
    <w:uiPriority w:val="99"/>
    <w:unhideWhenUsed/>
    <w:qFormat/>
    <w:pPr>
      <w:tabs>
        <w:tab w:val="center" w:pos="4153"/>
        <w:tab w:val="right" w:pos="8306"/>
      </w:tabs>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jc w:val="center"/>
    </w:pPr>
    <w:rPr>
      <w:sz w:val="18"/>
      <w:szCs w:val="18"/>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paragraph" w:customStyle="1" w:styleId="ParagraphText">
    <w:name w:val="Paragraph Text"/>
    <w:qFormat/>
    <w:pPr>
      <w:snapToGrid w:val="0"/>
      <w:spacing w:before="120" w:line="480" w:lineRule="auto"/>
      <w:ind w:firstLine="360"/>
    </w:pPr>
    <w:rPr>
      <w:rFonts w:ascii="Times New Roman" w:hAnsi="Times New Roman" w:cs="Times New Roman"/>
      <w:sz w:val="24"/>
      <w:lang w:eastAsia="en-US"/>
    </w:rPr>
  </w:style>
  <w:style w:type="paragraph" w:customStyle="1" w:styleId="Affiliations">
    <w:name w:val="Affiliations"/>
    <w:qFormat/>
    <w:pPr>
      <w:snapToGrid w:val="0"/>
      <w:spacing w:before="120"/>
      <w:jc w:val="center"/>
    </w:pPr>
    <w:rPr>
      <w:rFonts w:ascii="Times New Roman" w:hAnsi="Times New Roman" w:cs="Times New Roman"/>
      <w:i/>
      <w:lang w:eastAsia="en-US"/>
    </w:rPr>
  </w:style>
  <w:style w:type="paragraph" w:customStyle="1" w:styleId="ArticleTitle">
    <w:name w:val="Article_Title"/>
    <w:qFormat/>
    <w:pPr>
      <w:snapToGrid w:val="0"/>
      <w:spacing w:before="120" w:after="120" w:line="480" w:lineRule="auto"/>
      <w:jc w:val="center"/>
    </w:pPr>
    <w:rPr>
      <w:rFonts w:ascii="Times New Roman" w:hAnsi="Times New Roman" w:cs="Times New Roman"/>
      <w:b/>
      <w:kern w:val="28"/>
      <w:sz w:val="28"/>
      <w:lang w:eastAsia="en-US"/>
    </w:rPr>
  </w:style>
  <w:style w:type="paragraph" w:customStyle="1" w:styleId="Authors">
    <w:name w:val="Authors"/>
    <w:qFormat/>
    <w:pPr>
      <w:snapToGrid w:val="0"/>
      <w:spacing w:before="240"/>
      <w:jc w:val="center"/>
    </w:pPr>
    <w:rPr>
      <w:rFonts w:ascii="Times New Roman" w:hAnsi="Times New Roman" w:cs="Times New Roman"/>
      <w:sz w:val="24"/>
      <w:lang w:eastAsia="en-US"/>
    </w:rPr>
  </w:style>
  <w:style w:type="character" w:styleId="a9">
    <w:name w:val="Hyperlink"/>
    <w:basedOn w:val="a0"/>
    <w:uiPriority w:val="99"/>
    <w:unhideWhenUsed/>
    <w:rsid w:val="00F22A84"/>
    <w:rPr>
      <w:color w:val="0000FF" w:themeColor="hyperlink"/>
      <w:u w:val="single"/>
    </w:rPr>
  </w:style>
  <w:style w:type="character" w:styleId="aa">
    <w:name w:val="Unresolved Mention"/>
    <w:basedOn w:val="a0"/>
    <w:uiPriority w:val="99"/>
    <w:semiHidden/>
    <w:unhideWhenUsed/>
    <w:rsid w:val="00F22A84"/>
    <w:rPr>
      <w:color w:val="605E5C"/>
      <w:shd w:val="clear" w:color="auto" w:fill="E1DFDD"/>
    </w:rPr>
  </w:style>
  <w:style w:type="character" w:styleId="ab">
    <w:name w:val="FollowedHyperlink"/>
    <w:basedOn w:val="a0"/>
    <w:uiPriority w:val="99"/>
    <w:semiHidden/>
    <w:unhideWhenUsed/>
    <w:rsid w:val="00F22A84"/>
    <w:rPr>
      <w:color w:val="800080" w:themeColor="followedHyperlink"/>
      <w:u w:val="single"/>
    </w:rPr>
  </w:style>
  <w:style w:type="table" w:customStyle="1" w:styleId="2">
    <w:name w:val="网格型2"/>
    <w:basedOn w:val="a1"/>
    <w:next w:val="ac"/>
    <w:uiPriority w:val="59"/>
    <w:rsid w:val="006F2C45"/>
    <w:rPr>
      <w:rFonts w:ascii="Calibri" w:eastAsia="宋体" w:hAnsi="Calibri" w:cs="Times New Roman"/>
      <w:lang w:val="en-CA"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59"/>
    <w:rsid w:val="006F2C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99"/>
    <w:rsid w:val="00664B64"/>
    <w:pPr>
      <w:ind w:firstLineChars="200" w:firstLine="420"/>
    </w:pPr>
  </w:style>
  <w:style w:type="paragraph" w:styleId="ae">
    <w:name w:val="Revision"/>
    <w:hidden/>
    <w:uiPriority w:val="99"/>
    <w:semiHidden/>
    <w:rsid w:val="00DB7A61"/>
    <w:rPr>
      <w:rFonts w:ascii="Times New Roman" w:hAnsi="Times New Roman" w:cs="Times New Roman"/>
      <w:sz w:val="24"/>
      <w:lang w:eastAsia="en-US"/>
    </w:rPr>
  </w:style>
  <w:style w:type="character" w:styleId="af">
    <w:name w:val="annotation reference"/>
    <w:basedOn w:val="a0"/>
    <w:uiPriority w:val="99"/>
    <w:semiHidden/>
    <w:unhideWhenUsed/>
    <w:rsid w:val="00DB7A61"/>
    <w:rPr>
      <w:sz w:val="16"/>
      <w:szCs w:val="16"/>
    </w:rPr>
  </w:style>
  <w:style w:type="paragraph" w:styleId="af0">
    <w:name w:val="annotation subject"/>
    <w:basedOn w:val="a3"/>
    <w:next w:val="a3"/>
    <w:link w:val="af1"/>
    <w:uiPriority w:val="99"/>
    <w:semiHidden/>
    <w:unhideWhenUsed/>
    <w:rsid w:val="00DB7A61"/>
    <w:pPr>
      <w:spacing w:line="240" w:lineRule="auto"/>
    </w:pPr>
    <w:rPr>
      <w:b/>
      <w:bCs/>
      <w:sz w:val="20"/>
    </w:rPr>
  </w:style>
  <w:style w:type="character" w:customStyle="1" w:styleId="a4">
    <w:name w:val="批注文字 字符"/>
    <w:basedOn w:val="a0"/>
    <w:link w:val="a3"/>
    <w:uiPriority w:val="99"/>
    <w:rsid w:val="00DB7A61"/>
    <w:rPr>
      <w:rFonts w:ascii="Times New Roman" w:hAnsi="Times New Roman" w:cs="Times New Roman"/>
      <w:sz w:val="24"/>
      <w:lang w:eastAsia="en-US"/>
    </w:rPr>
  </w:style>
  <w:style w:type="character" w:customStyle="1" w:styleId="af1">
    <w:name w:val="批注主题 字符"/>
    <w:basedOn w:val="a4"/>
    <w:link w:val="af0"/>
    <w:uiPriority w:val="99"/>
    <w:semiHidden/>
    <w:rsid w:val="00DB7A61"/>
    <w:rPr>
      <w:rFonts w:ascii="Times New Roman" w:hAnsi="Times New Roman" w:cs="Times New Roman"/>
      <w:b/>
      <w:bCs/>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449428">
      <w:bodyDiv w:val="1"/>
      <w:marLeft w:val="0"/>
      <w:marRight w:val="0"/>
      <w:marTop w:val="0"/>
      <w:marBottom w:val="0"/>
      <w:divBdr>
        <w:top w:val="none" w:sz="0" w:space="0" w:color="auto"/>
        <w:left w:val="none" w:sz="0" w:space="0" w:color="auto"/>
        <w:bottom w:val="none" w:sz="0" w:space="0" w:color="auto"/>
        <w:right w:val="none" w:sz="0" w:space="0" w:color="auto"/>
      </w:divBdr>
    </w:div>
    <w:div w:id="944576639">
      <w:bodyDiv w:val="1"/>
      <w:marLeft w:val="0"/>
      <w:marRight w:val="0"/>
      <w:marTop w:val="0"/>
      <w:marBottom w:val="0"/>
      <w:divBdr>
        <w:top w:val="none" w:sz="0" w:space="0" w:color="auto"/>
        <w:left w:val="none" w:sz="0" w:space="0" w:color="auto"/>
        <w:bottom w:val="none" w:sz="0" w:space="0" w:color="auto"/>
        <w:right w:val="none" w:sz="0" w:space="0" w:color="auto"/>
      </w:divBdr>
    </w:div>
    <w:div w:id="1056852477">
      <w:bodyDiv w:val="1"/>
      <w:marLeft w:val="0"/>
      <w:marRight w:val="0"/>
      <w:marTop w:val="0"/>
      <w:marBottom w:val="0"/>
      <w:divBdr>
        <w:top w:val="none" w:sz="0" w:space="0" w:color="auto"/>
        <w:left w:val="none" w:sz="0" w:space="0" w:color="auto"/>
        <w:bottom w:val="none" w:sz="0" w:space="0" w:color="auto"/>
        <w:right w:val="none" w:sz="0" w:space="0" w:color="auto"/>
      </w:divBdr>
    </w:div>
    <w:div w:id="1512722183">
      <w:bodyDiv w:val="1"/>
      <w:marLeft w:val="0"/>
      <w:marRight w:val="0"/>
      <w:marTop w:val="0"/>
      <w:marBottom w:val="0"/>
      <w:divBdr>
        <w:top w:val="none" w:sz="0" w:space="0" w:color="auto"/>
        <w:left w:val="none" w:sz="0" w:space="0" w:color="auto"/>
        <w:bottom w:val="none" w:sz="0" w:space="0" w:color="auto"/>
        <w:right w:val="none" w:sz="0" w:space="0" w:color="auto"/>
      </w:divBdr>
    </w:div>
    <w:div w:id="18040755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4986096-4EFD-4BED-9B65-2E5958BF92B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752</TotalTime>
  <Pages>13</Pages>
  <Words>2336</Words>
  <Characters>13316</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Liang, Ju</dc:creator>
  <cp:lastModifiedBy>Liang, Ju</cp:lastModifiedBy>
  <cp:revision>11</cp:revision>
  <cp:lastPrinted>2022-03-22T13:40:00Z</cp:lastPrinted>
  <dcterms:created xsi:type="dcterms:W3CDTF">2022-05-16T17:32:00Z</dcterms:created>
  <dcterms:modified xsi:type="dcterms:W3CDTF">2022-07-12T11:33:00Z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DFA71605247246E1900DA5C7CCC49BB7</vt:lpwstr>
  </property>
</Properties>
</file>