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674C" w:rsidRPr="00421FD4" w:rsidRDefault="0098674C" w:rsidP="0098674C">
      <w:pPr>
        <w:rPr>
          <w:rFonts w:ascii="Arial Nova" w:hAnsi="Arial Nova"/>
          <w:sz w:val="20"/>
          <w:szCs w:val="20"/>
          <w:lang w:val="en-GB"/>
        </w:rPr>
      </w:pPr>
      <w:bookmarkStart w:id="0" w:name="_GoBack"/>
      <w:r>
        <w:rPr>
          <w:rFonts w:ascii="Arial Nova" w:hAnsi="Arial Nova"/>
          <w:sz w:val="20"/>
          <w:szCs w:val="20"/>
          <w:lang w:val="en-GB"/>
        </w:rPr>
        <w:t>Additional file</w:t>
      </w:r>
      <w:r w:rsidRPr="00421FD4">
        <w:rPr>
          <w:rFonts w:ascii="Arial Nova" w:hAnsi="Arial Nova"/>
          <w:sz w:val="20"/>
          <w:szCs w:val="20"/>
          <w:lang w:val="en-GB"/>
        </w:rPr>
        <w:t xml:space="preserve"> 2 Overview of content problem per KT case</w:t>
      </w:r>
    </w:p>
    <w:tbl>
      <w:tblPr>
        <w:tblStyle w:val="Tabelraster1"/>
        <w:tblW w:w="5000" w:type="pct"/>
        <w:tblLook w:val="04A0" w:firstRow="1" w:lastRow="0" w:firstColumn="1" w:lastColumn="0" w:noHBand="0" w:noVBand="1"/>
      </w:tblPr>
      <w:tblGrid>
        <w:gridCol w:w="2332"/>
        <w:gridCol w:w="2331"/>
        <w:gridCol w:w="2331"/>
        <w:gridCol w:w="2267"/>
        <w:gridCol w:w="2399"/>
        <w:gridCol w:w="2334"/>
      </w:tblGrid>
      <w:tr w:rsidR="0098674C" w:rsidRPr="00421FD4" w:rsidTr="0098674C">
        <w:trPr>
          <w:trHeight w:val="104"/>
        </w:trPr>
        <w:tc>
          <w:tcPr>
            <w:tcW w:w="833" w:type="pct"/>
          </w:tcPr>
          <w:bookmarkEnd w:id="0"/>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Concept </w:t>
            </w:r>
            <w:proofErr w:type="spellStart"/>
            <w:r w:rsidRPr="00421FD4">
              <w:rPr>
                <w:rFonts w:ascii="Arial Nova" w:hAnsi="Arial Nova" w:cstheme="minorHAnsi"/>
                <w:sz w:val="16"/>
                <w:szCs w:val="16"/>
              </w:rPr>
              <w:t>Problem</w:t>
            </w:r>
            <w:proofErr w:type="spellEnd"/>
          </w:p>
        </w:tc>
        <w:tc>
          <w:tcPr>
            <w:tcW w:w="833" w:type="pct"/>
          </w:tcPr>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1 </w:t>
            </w:r>
            <w:proofErr w:type="spellStart"/>
            <w:r w:rsidRPr="00421FD4">
              <w:rPr>
                <w:rFonts w:ascii="Arial Nova" w:hAnsi="Arial Nova" w:cstheme="minorHAnsi"/>
                <w:sz w:val="16"/>
                <w:szCs w:val="16"/>
              </w:rPr>
              <w:t>Puglia</w:t>
            </w:r>
            <w:proofErr w:type="spellEnd"/>
            <w:r w:rsidRPr="00421FD4">
              <w:rPr>
                <w:rFonts w:ascii="Arial Nova" w:hAnsi="Arial Nova" w:cstheme="minorHAnsi"/>
                <w:sz w:val="16"/>
                <w:szCs w:val="16"/>
              </w:rPr>
              <w:t xml:space="preserve"> </w:t>
            </w:r>
          </w:p>
        </w:tc>
        <w:tc>
          <w:tcPr>
            <w:tcW w:w="833" w:type="pct"/>
          </w:tcPr>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2 </w:t>
            </w:r>
            <w:proofErr w:type="spellStart"/>
            <w:r w:rsidRPr="00421FD4">
              <w:rPr>
                <w:rFonts w:ascii="Arial Nova" w:hAnsi="Arial Nova" w:cstheme="minorHAnsi"/>
                <w:sz w:val="16"/>
                <w:szCs w:val="16"/>
              </w:rPr>
              <w:t>Basque</w:t>
            </w:r>
            <w:proofErr w:type="spellEnd"/>
            <w:r w:rsidRPr="00421FD4">
              <w:rPr>
                <w:rFonts w:ascii="Arial Nova" w:hAnsi="Arial Nova" w:cstheme="minorHAnsi"/>
                <w:sz w:val="16"/>
                <w:szCs w:val="16"/>
              </w:rPr>
              <w:t xml:space="preserve"> Country</w:t>
            </w:r>
          </w:p>
        </w:tc>
        <w:tc>
          <w:tcPr>
            <w:tcW w:w="810" w:type="pct"/>
          </w:tcPr>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Case 3 Scotland</w:t>
            </w:r>
          </w:p>
        </w:tc>
        <w:tc>
          <w:tcPr>
            <w:tcW w:w="857" w:type="pct"/>
          </w:tcPr>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4 Scotland </w:t>
            </w:r>
          </w:p>
        </w:tc>
        <w:tc>
          <w:tcPr>
            <w:tcW w:w="834" w:type="pct"/>
          </w:tcPr>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Case 5 </w:t>
            </w:r>
            <w:proofErr w:type="spellStart"/>
            <w:r w:rsidRPr="00421FD4">
              <w:rPr>
                <w:rFonts w:ascii="Arial Nova" w:hAnsi="Arial Nova" w:cstheme="minorHAnsi"/>
                <w:sz w:val="16"/>
                <w:szCs w:val="16"/>
              </w:rPr>
              <w:t>Norrbotten</w:t>
            </w:r>
            <w:proofErr w:type="spellEnd"/>
          </w:p>
        </w:tc>
      </w:tr>
      <w:tr w:rsidR="0098674C" w:rsidRPr="00773FF1" w:rsidTr="0098674C">
        <w:trPr>
          <w:trHeight w:val="707"/>
        </w:trPr>
        <w:tc>
          <w:tcPr>
            <w:tcW w:w="833" w:type="pct"/>
          </w:tcPr>
          <w:p w:rsidR="0098674C" w:rsidRPr="00421FD4" w:rsidRDefault="0098674C" w:rsidP="00B50CD4">
            <w:pPr>
              <w:rPr>
                <w:rFonts w:ascii="Arial Nova" w:hAnsi="Arial Nova" w:cstheme="minorHAnsi"/>
                <w:sz w:val="16"/>
                <w:szCs w:val="16"/>
              </w:rPr>
            </w:pPr>
            <w:r w:rsidRPr="00421FD4">
              <w:rPr>
                <w:rFonts w:ascii="Arial Nova" w:hAnsi="Arial Nova" w:cstheme="minorHAnsi"/>
                <w:sz w:val="16"/>
                <w:szCs w:val="16"/>
              </w:rPr>
              <w:t xml:space="preserve">Transferring </w:t>
            </w:r>
            <w:proofErr w:type="spellStart"/>
            <w:r w:rsidRPr="00421FD4">
              <w:rPr>
                <w:rFonts w:ascii="Arial Nova" w:hAnsi="Arial Nova" w:cstheme="minorHAnsi"/>
                <w:sz w:val="16"/>
                <w:szCs w:val="16"/>
              </w:rPr>
              <w:t>region</w:t>
            </w:r>
            <w:proofErr w:type="spellEnd"/>
          </w:p>
        </w:tc>
        <w:tc>
          <w:tcPr>
            <w:tcW w:w="833"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The five challenges that </w:t>
            </w:r>
            <w:proofErr w:type="spellStart"/>
            <w:r w:rsidRPr="00421FD4">
              <w:rPr>
                <w:rFonts w:ascii="Arial Nova" w:hAnsi="Arial Nova" w:cstheme="minorHAnsi"/>
                <w:sz w:val="16"/>
                <w:szCs w:val="16"/>
                <w:lang w:val="en-GB"/>
              </w:rPr>
              <w:t>Hospital@Home</w:t>
            </w:r>
            <w:proofErr w:type="spellEnd"/>
            <w:r w:rsidRPr="00421FD4">
              <w:rPr>
                <w:rFonts w:ascii="Arial Nova" w:hAnsi="Arial Nova" w:cstheme="minorHAnsi"/>
                <w:sz w:val="16"/>
                <w:szCs w:val="16"/>
                <w:lang w:val="en-GB"/>
              </w:rPr>
              <w:t xml:space="preserve"> GP addresses are:</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-Reduction of the number of patients with chronic diseases in the process of instability</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-Reduction of hospitalisation and re-hospitalisation</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-Activation of protected resignation</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-Optimisation of the therapy and diagnosis according to international guidelines</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-Promotion of the integrated management of hospital and community.</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p>
        </w:tc>
        <w:tc>
          <w:tcPr>
            <w:tcW w:w="833"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The challenges that Advanced Care Planning (ACP) addresses are:</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-Improvement of the quality of end-of-life care, respecting patients</w:t>
            </w:r>
            <w:r>
              <w:rPr>
                <w:rFonts w:ascii="Arial Nova" w:hAnsi="Arial Nova" w:cstheme="minorHAnsi"/>
                <w:sz w:val="16"/>
                <w:szCs w:val="16"/>
                <w:lang w:val="en-GB"/>
              </w:rPr>
              <w:t xml:space="preserve">’ </w:t>
            </w:r>
            <w:r w:rsidRPr="00421FD4">
              <w:rPr>
                <w:rFonts w:ascii="Arial Nova" w:hAnsi="Arial Nova" w:cstheme="minorHAnsi"/>
                <w:sz w:val="16"/>
                <w:szCs w:val="16"/>
                <w:lang w:val="en-GB"/>
              </w:rPr>
              <w:t>preferences</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-Promotion of citizen participation in shared decision-making</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-Improvement of care communication between patients and careers</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-Increase of health, social workers and caregivers</w:t>
            </w:r>
            <w:r>
              <w:rPr>
                <w:rFonts w:ascii="Arial Nova" w:hAnsi="Arial Nova" w:cstheme="minorHAnsi"/>
                <w:sz w:val="16"/>
                <w:szCs w:val="16"/>
                <w:lang w:val="en-GB"/>
              </w:rPr>
              <w:t xml:space="preserve">’ </w:t>
            </w:r>
            <w:r w:rsidRPr="00421FD4">
              <w:rPr>
                <w:rFonts w:ascii="Arial Nova" w:hAnsi="Arial Nova" w:cstheme="minorHAnsi"/>
                <w:sz w:val="16"/>
                <w:szCs w:val="16"/>
                <w:lang w:val="en-GB"/>
              </w:rPr>
              <w:t>competences regarding ACP</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-Increase of patient’s competences to make end-of-life/care-related decisions</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R1: “[...]</w:t>
            </w:r>
            <w:r>
              <w:rPr>
                <w:rFonts w:ascii="Arial Nova" w:hAnsi="Arial Nova" w:cstheme="minorHAnsi"/>
                <w:sz w:val="16"/>
                <w:szCs w:val="16"/>
                <w:lang w:val="en-GB"/>
              </w:rPr>
              <w:t xml:space="preserve"> </w:t>
            </w:r>
            <w:r w:rsidRPr="00421FD4">
              <w:rPr>
                <w:rFonts w:ascii="Arial Nova" w:hAnsi="Arial Nova" w:cstheme="minorHAnsi"/>
                <w:sz w:val="16"/>
                <w:szCs w:val="16"/>
                <w:lang w:val="en-GB"/>
              </w:rPr>
              <w:t>this kind of sharing and collaboration, it helps you to reflect on many things you are doing, and what other regions are doing with the same issue.</w:t>
            </w:r>
            <w:r w:rsidRPr="00AB430E">
              <w:rPr>
                <w:rFonts w:ascii="Arial Nova" w:hAnsi="Arial Nova" w:cstheme="minorHAnsi"/>
                <w:sz w:val="16"/>
                <w:szCs w:val="16"/>
                <w:lang w:val="en-GB"/>
              </w:rPr>
              <w:t xml:space="preserve"> And it helps a lot to keep on going and keep on sharing</w:t>
            </w:r>
            <w:r>
              <w:rPr>
                <w:rFonts w:ascii="Arial Nova" w:hAnsi="Arial Nova" w:cstheme="minorHAnsi"/>
                <w:sz w:val="16"/>
                <w:szCs w:val="16"/>
                <w:lang w:val="en-GB"/>
              </w:rPr>
              <w:t>.’’</w:t>
            </w: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R1: “In my case what we need if we go to the region, probably we are quite good at structuring things, saying what regulations are what the managers consider. I am not sure that we are good at what is </w:t>
            </w:r>
            <w:proofErr w:type="gramStart"/>
            <w:r w:rsidRPr="00421FD4">
              <w:rPr>
                <w:rFonts w:ascii="Arial Nova" w:hAnsi="Arial Nova" w:cstheme="minorHAnsi"/>
                <w:sz w:val="16"/>
                <w:szCs w:val="16"/>
                <w:lang w:val="en-GB"/>
              </w:rPr>
              <w:t>more soft</w:t>
            </w:r>
            <w:proofErr w:type="gramEnd"/>
            <w:r w:rsidRPr="00421FD4">
              <w:rPr>
                <w:rFonts w:ascii="Arial Nova" w:hAnsi="Arial Nova" w:cstheme="minorHAnsi"/>
                <w:sz w:val="16"/>
                <w:szCs w:val="16"/>
                <w:lang w:val="en-GB"/>
              </w:rPr>
              <w:t>.”</w:t>
            </w:r>
          </w:p>
        </w:tc>
        <w:tc>
          <w:tcPr>
            <w:tcW w:w="810"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A key driver towards integration and the engagement of third sector in the provision of integrated care has been the projected increase in demand for health and social care as a result of an increasingly ageing population, in particularly those who will be aged 75 and older. […] Integration across the health, social, housing and third sector is seen </w:t>
            </w:r>
            <w:proofErr w:type="gramStart"/>
            <w:r w:rsidRPr="00421FD4">
              <w:rPr>
                <w:rFonts w:ascii="Arial Nova" w:hAnsi="Arial Nova" w:cstheme="minorHAnsi"/>
                <w:sz w:val="16"/>
                <w:szCs w:val="16"/>
                <w:lang w:val="en-GB"/>
              </w:rPr>
              <w:t>as a way to</w:t>
            </w:r>
            <w:proofErr w:type="gramEnd"/>
            <w:r w:rsidRPr="00421FD4">
              <w:rPr>
                <w:rFonts w:ascii="Arial Nova" w:hAnsi="Arial Nova" w:cstheme="minorHAnsi"/>
                <w:sz w:val="16"/>
                <w:szCs w:val="16"/>
                <w:lang w:val="en-GB"/>
              </w:rPr>
              <w:t xml:space="preserve"> make more efficient and effective use of limited resources and is believed to be central to the challenge of improving outcomes for patients and service users.</w:t>
            </w:r>
          </w:p>
        </w:tc>
        <w:tc>
          <w:tcPr>
            <w:tcW w:w="857"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Innovation is the key to delivering a new model of healthcare that meets the challenges and expectations of the modern society. […] When properly targeted and applied, innovative ideas and technologies can transform patient care within the NHS and other stakeholders involved. As such, innovation helps to deliver patient care while simultaneously improving quality and efficiency, releasing savings through increased productivity.</w:t>
            </w:r>
          </w:p>
        </w:tc>
        <w:tc>
          <w:tcPr>
            <w:tcW w:w="834"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Introduction of ICT solutions, including eHealth services is the key to delivering a new model of healthcare that meets the challenges and expectations of the modern society. […] When properly designed and applied as routine care, ICT solutions and eHealth services can transform patient care in the Region. As such, implementation of eHealth solutions helps to deliver patient care while simultaneously improving quality and efficiency, releasing savings and demands through increased productivity.</w:t>
            </w:r>
          </w:p>
        </w:tc>
      </w:tr>
      <w:tr w:rsidR="0098674C" w:rsidRPr="00773FF1" w:rsidTr="0098674C">
        <w:trPr>
          <w:trHeight w:val="410"/>
        </w:trPr>
        <w:tc>
          <w:tcPr>
            <w:tcW w:w="833" w:type="pct"/>
          </w:tcPr>
          <w:p w:rsidR="0098674C" w:rsidRPr="00421FD4" w:rsidRDefault="0098674C" w:rsidP="00B50CD4">
            <w:pPr>
              <w:rPr>
                <w:rFonts w:ascii="Arial Nova" w:hAnsi="Arial Nova" w:cstheme="minorHAnsi"/>
                <w:sz w:val="16"/>
                <w:szCs w:val="16"/>
              </w:rPr>
            </w:pPr>
            <w:proofErr w:type="spellStart"/>
            <w:r w:rsidRPr="00421FD4">
              <w:rPr>
                <w:rFonts w:ascii="Arial Nova" w:hAnsi="Arial Nova" w:cstheme="minorHAnsi"/>
                <w:sz w:val="16"/>
                <w:szCs w:val="16"/>
              </w:rPr>
              <w:t>Receiving</w:t>
            </w:r>
            <w:proofErr w:type="spellEnd"/>
            <w:r w:rsidRPr="00421FD4">
              <w:rPr>
                <w:rFonts w:ascii="Arial Nova" w:hAnsi="Arial Nova" w:cstheme="minorHAnsi"/>
                <w:sz w:val="16"/>
                <w:szCs w:val="16"/>
              </w:rPr>
              <w:t xml:space="preserve"> </w:t>
            </w:r>
            <w:proofErr w:type="spellStart"/>
            <w:r w:rsidRPr="00421FD4">
              <w:rPr>
                <w:rFonts w:ascii="Arial Nova" w:hAnsi="Arial Nova" w:cstheme="minorHAnsi"/>
                <w:sz w:val="16"/>
                <w:szCs w:val="16"/>
              </w:rPr>
              <w:t>region</w:t>
            </w:r>
            <w:proofErr w:type="spellEnd"/>
            <w:r w:rsidRPr="00421FD4">
              <w:rPr>
                <w:rFonts w:ascii="Arial Nova" w:hAnsi="Arial Nova" w:cstheme="minorHAnsi"/>
                <w:sz w:val="16"/>
                <w:szCs w:val="16"/>
              </w:rPr>
              <w:t xml:space="preserve"> 1</w:t>
            </w:r>
          </w:p>
        </w:tc>
        <w:tc>
          <w:tcPr>
            <w:tcW w:w="833"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Scotland described in their action plan the challenge of “the mainstreaming of technology enabled care initiatives into the routine care. And that Scotland is very keen to explore and </w:t>
            </w:r>
            <w:r w:rsidRPr="00421FD4">
              <w:rPr>
                <w:rFonts w:ascii="Arial Nova" w:hAnsi="Arial Nova" w:cstheme="minorHAnsi"/>
                <w:sz w:val="16"/>
                <w:szCs w:val="16"/>
                <w:lang w:val="en-GB"/>
              </w:rPr>
              <w:lastRenderedPageBreak/>
              <w:t>learn […] in the area of adoption of technological solutions in the routine care.”</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S1: “In Scotland we have services that use telemonitoring, but we don’t have well developed services for hospital at home.”</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S2: “In Scotland we have services that use telemonitoring, but we don’t have well developed services for hospital at home. And it really got us thinking around that is our next priority area. […] I think if we haven’t come on this </w:t>
            </w:r>
            <w:proofErr w:type="gramStart"/>
            <w:r w:rsidRPr="00421FD4">
              <w:rPr>
                <w:rFonts w:ascii="Arial Nova" w:hAnsi="Arial Nova" w:cstheme="minorHAnsi"/>
                <w:sz w:val="16"/>
                <w:szCs w:val="16"/>
                <w:lang w:val="en-GB"/>
              </w:rPr>
              <w:t>visit</w:t>
            </w:r>
            <w:proofErr w:type="gramEnd"/>
            <w:r w:rsidRPr="00421FD4">
              <w:rPr>
                <w:rFonts w:ascii="Arial Nova" w:hAnsi="Arial Nova" w:cstheme="minorHAnsi"/>
                <w:sz w:val="16"/>
                <w:szCs w:val="16"/>
                <w:lang w:val="en-GB"/>
              </w:rPr>
              <w:t xml:space="preserve"> we might not have reached that point. </w:t>
            </w:r>
            <w:proofErr w:type="gramStart"/>
            <w:r w:rsidRPr="00421FD4">
              <w:rPr>
                <w:rFonts w:ascii="Arial Nova" w:hAnsi="Arial Nova" w:cstheme="minorHAnsi"/>
                <w:sz w:val="16"/>
                <w:szCs w:val="16"/>
                <w:lang w:val="en-GB"/>
              </w:rPr>
              <w:t>So</w:t>
            </w:r>
            <w:proofErr w:type="gramEnd"/>
            <w:r w:rsidRPr="00421FD4">
              <w:rPr>
                <w:rFonts w:ascii="Arial Nova" w:hAnsi="Arial Nova" w:cstheme="minorHAnsi"/>
                <w:sz w:val="16"/>
                <w:szCs w:val="16"/>
                <w:lang w:val="en-GB"/>
              </w:rPr>
              <w:t xml:space="preserve"> it really helped my thinking forward.”</w:t>
            </w:r>
          </w:p>
        </w:tc>
        <w:tc>
          <w:tcPr>
            <w:tcW w:w="833" w:type="pct"/>
          </w:tcPr>
          <w:p w:rsidR="0098674C" w:rsidRPr="00421FD4" w:rsidRDefault="0098674C" w:rsidP="00B50CD4">
            <w:pPr>
              <w:rPr>
                <w:rFonts w:ascii="Arial Nova" w:hAnsi="Arial Nova" w:cstheme="minorHAnsi"/>
                <w:sz w:val="16"/>
                <w:szCs w:val="16"/>
                <w:lang w:val="en-GB"/>
              </w:rPr>
            </w:pPr>
            <w:proofErr w:type="spellStart"/>
            <w:r w:rsidRPr="00421FD4">
              <w:rPr>
                <w:rFonts w:ascii="Arial Nova" w:hAnsi="Arial Nova" w:cstheme="minorHAnsi"/>
                <w:sz w:val="16"/>
                <w:szCs w:val="16"/>
                <w:lang w:val="en-GB"/>
              </w:rPr>
              <w:lastRenderedPageBreak/>
              <w:t>Norrbotten</w:t>
            </w:r>
            <w:proofErr w:type="spellEnd"/>
            <w:r w:rsidRPr="00421FD4">
              <w:rPr>
                <w:rFonts w:ascii="Arial Nova" w:hAnsi="Arial Nova" w:cstheme="minorHAnsi"/>
                <w:sz w:val="16"/>
                <w:szCs w:val="16"/>
                <w:lang w:val="en-GB"/>
              </w:rPr>
              <w:t xml:space="preserve"> indicated in the action plan that their “ambition is to design a common system for advanced care planning where patients can take an active role and communicate </w:t>
            </w:r>
            <w:r w:rsidRPr="00421FD4">
              <w:rPr>
                <w:rFonts w:ascii="Arial Nova" w:hAnsi="Arial Nova" w:cstheme="minorHAnsi"/>
                <w:sz w:val="16"/>
                <w:szCs w:val="16"/>
                <w:lang w:val="en-GB"/>
              </w:rPr>
              <w:lastRenderedPageBreak/>
              <w:t xml:space="preserve">with healthcare professionals as required. Furthermore, they described that current systems need to be changed and redesign in order to offer patients the possibility to receive a safe and coordinated healthcare, across the organisational boundaries and where the patients </w:t>
            </w:r>
            <w:proofErr w:type="gramStart"/>
            <w:r w:rsidRPr="00421FD4">
              <w:rPr>
                <w:rFonts w:ascii="Arial Nova" w:hAnsi="Arial Nova" w:cstheme="minorHAnsi"/>
                <w:sz w:val="16"/>
                <w:szCs w:val="16"/>
                <w:lang w:val="en-GB"/>
              </w:rPr>
              <w:t>are seen as</w:t>
            </w:r>
            <w:proofErr w:type="gramEnd"/>
            <w:r w:rsidRPr="00421FD4">
              <w:rPr>
                <w:rFonts w:ascii="Arial Nova" w:hAnsi="Arial Nova" w:cstheme="minorHAnsi"/>
                <w:sz w:val="16"/>
                <w:szCs w:val="16"/>
                <w:lang w:val="en-GB"/>
              </w:rPr>
              <w:t xml:space="preserve"> an obvious part in planning of care process that concern them. Social care, health care and rehabilitation models need to be changed to accommodate citizens' needs and wishes.”</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p>
        </w:tc>
        <w:tc>
          <w:tcPr>
            <w:tcW w:w="810"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In the action plan of Puglia, the challenge was indicated as “health and social care seem to be often fragmented, with services based on professional and institutional boundaries </w:t>
            </w:r>
            <w:r w:rsidRPr="00421FD4">
              <w:rPr>
                <w:rFonts w:ascii="Arial Nova" w:hAnsi="Arial Nova" w:cstheme="minorHAnsi"/>
                <w:sz w:val="16"/>
                <w:szCs w:val="16"/>
                <w:lang w:val="en-GB"/>
              </w:rPr>
              <w:lastRenderedPageBreak/>
              <w:t xml:space="preserve">rather than being co-ordinated around the needs of citizens. </w:t>
            </w:r>
            <w:proofErr w:type="gramStart"/>
            <w:r w:rsidRPr="00421FD4">
              <w:rPr>
                <w:rFonts w:ascii="Arial Nova" w:hAnsi="Arial Nova" w:cstheme="minorHAnsi"/>
                <w:sz w:val="16"/>
                <w:szCs w:val="16"/>
                <w:lang w:val="en-GB"/>
              </w:rPr>
              <w:t>A number of</w:t>
            </w:r>
            <w:proofErr w:type="gramEnd"/>
            <w:r w:rsidRPr="00421FD4">
              <w:rPr>
                <w:rFonts w:ascii="Arial Nova" w:hAnsi="Arial Nova" w:cstheme="minorHAnsi"/>
                <w:sz w:val="16"/>
                <w:szCs w:val="16"/>
                <w:lang w:val="en-GB"/>
              </w:rPr>
              <w:t xml:space="preserve"> policy initiatives in Puglia have been designed to tackle this fragmentation, however integration of health and social care still remains a challenge. And that one of the three main barriers to integration is lack of engagement of the “Third Sector” in participating in the delivery of integrated care services.”</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A respondent provided a statement reviewing the problem:</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P1: “From my point of view, we already knew something about the general framework and legislation in Scotland because we have been working quite a lot together. And we wanted just the confirmation whether legislation for integration is important and whether it can make a difference, and I now have the confirmation that it would make a difference in Puglia.”</w:t>
            </w:r>
          </w:p>
        </w:tc>
        <w:tc>
          <w:tcPr>
            <w:tcW w:w="857"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For </w:t>
            </w: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 xml:space="preserve"> the challenge remaining as described in the action plan was “how to address a gap between emerging innovations and its implementation, monitoring and evaluations. As such, </w:t>
            </w:r>
            <w:r w:rsidRPr="00421FD4">
              <w:rPr>
                <w:rFonts w:ascii="Arial Nova" w:hAnsi="Arial Nova" w:cstheme="minorHAnsi"/>
                <w:sz w:val="16"/>
                <w:szCs w:val="16"/>
                <w:lang w:val="en-GB"/>
              </w:rPr>
              <w:lastRenderedPageBreak/>
              <w:t>there is a real opportunity to learn from other regions and organisations in Europe how to manage innovation processes better and more effectively</w:t>
            </w:r>
            <w:r w:rsidRPr="00421FD4">
              <w:rPr>
                <w:rFonts w:ascii="Arial Nova" w:hAnsi="Arial Nova" w:cstheme="minorHAnsi"/>
                <w:b/>
                <w:sz w:val="16"/>
                <w:szCs w:val="16"/>
                <w:lang w:val="en-GB"/>
              </w:rPr>
              <w:t>.”</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R2: “In terms of innovation management I think there are certain things were I see you come further, were we really want to work and improve and that is not that cohesive, much more of a cohesive process in Scotland in terms of innovation management. Mandate, clear mandates and roles, such an </w:t>
            </w:r>
            <w:proofErr w:type="gramStart"/>
            <w:r w:rsidRPr="00421FD4">
              <w:rPr>
                <w:rFonts w:ascii="Arial Nova" w:hAnsi="Arial Nova" w:cstheme="minorHAnsi"/>
                <w:sz w:val="16"/>
                <w:szCs w:val="16"/>
                <w:lang w:val="en-GB"/>
              </w:rPr>
              <w:t>important aspects</w:t>
            </w:r>
            <w:proofErr w:type="gramEnd"/>
            <w:r w:rsidRPr="00421FD4">
              <w:rPr>
                <w:rFonts w:ascii="Arial Nova" w:hAnsi="Arial Nova" w:cstheme="minorHAnsi"/>
                <w:sz w:val="16"/>
                <w:szCs w:val="16"/>
                <w:lang w:val="en-GB"/>
              </w:rPr>
              <w:t xml:space="preserve">, of course funding is also important but just to have that, in Scotland you have 8 innovation centres with different responsibilities, in </w:t>
            </w: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 xml:space="preserve"> we do have different innovation centre, one joint with municipality and university. We all invested money into it, so were </w:t>
            </w:r>
            <w:proofErr w:type="spellStart"/>
            <w:r w:rsidRPr="00421FD4">
              <w:rPr>
                <w:rFonts w:ascii="Arial Nova" w:hAnsi="Arial Nova" w:cstheme="minorHAnsi"/>
                <w:sz w:val="16"/>
                <w:szCs w:val="16"/>
                <w:lang w:val="en-GB"/>
              </w:rPr>
              <w:t>plouwing</w:t>
            </w:r>
            <w:proofErr w:type="spellEnd"/>
            <w:r w:rsidRPr="00421FD4">
              <w:rPr>
                <w:rFonts w:ascii="Arial Nova" w:hAnsi="Arial Nova" w:cstheme="minorHAnsi"/>
                <w:sz w:val="16"/>
                <w:szCs w:val="16"/>
                <w:lang w:val="en-GB"/>
              </w:rPr>
              <w:t xml:space="preserve"> money into it but have a very unclear mandate. Very unclear.”</w:t>
            </w:r>
          </w:p>
        </w:tc>
        <w:tc>
          <w:tcPr>
            <w:tcW w:w="834"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The challenge for the receiving region Olomouc as written in the action plan is that: “the role of ICT as an enabler of service redesign is not well recognised and digital healthcare services are </w:t>
            </w:r>
            <w:r w:rsidRPr="00421FD4">
              <w:rPr>
                <w:rFonts w:ascii="Arial Nova" w:hAnsi="Arial Nova" w:cstheme="minorHAnsi"/>
                <w:sz w:val="16"/>
                <w:szCs w:val="16"/>
                <w:lang w:val="en-GB"/>
              </w:rPr>
              <w:lastRenderedPageBreak/>
              <w:t>not developed. Some progress has been made though for example by preparing a new Electronic Health Act, concept of sharing of health data and eHealth strategy (2016). […] The major issue for the Olomouc Region is to recognise the widespread of eHealth services as a routine part of the healthcare delivery and patient journey, wider Czech Republic the progress in this area has been made mostly on the voluntary basis of involved stakeholders. There is no ICT infrastructure to allow electronic exchange of data, including access to electronic health records. In addition, legislation is lacking to support a wider implementation of eHealth services in the Region.”</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CR2: “Importance of shared electronic health record and associated organisation measures, which I can explain. These are the aspects how to </w:t>
            </w:r>
            <w:proofErr w:type="gramStart"/>
            <w:r w:rsidRPr="00421FD4">
              <w:rPr>
                <w:rFonts w:ascii="Arial Nova" w:hAnsi="Arial Nova" w:cstheme="minorHAnsi"/>
                <w:sz w:val="16"/>
                <w:szCs w:val="16"/>
                <w:lang w:val="en-GB"/>
              </w:rPr>
              <w:t>actually introduce</w:t>
            </w:r>
            <w:proofErr w:type="gramEnd"/>
            <w:r w:rsidRPr="00421FD4">
              <w:rPr>
                <w:rFonts w:ascii="Arial Nova" w:hAnsi="Arial Nova" w:cstheme="minorHAnsi"/>
                <w:sz w:val="16"/>
                <w:szCs w:val="16"/>
                <w:lang w:val="en-GB"/>
              </w:rPr>
              <w:t xml:space="preserve"> the electronic health records, the shared electronic health record in environment that we have. That means with many health care providers different owners </w:t>
            </w:r>
            <w:proofErr w:type="gramStart"/>
            <w:r w:rsidRPr="00421FD4">
              <w:rPr>
                <w:rFonts w:ascii="Arial Nova" w:hAnsi="Arial Nova" w:cstheme="minorHAnsi"/>
                <w:sz w:val="16"/>
                <w:szCs w:val="16"/>
                <w:lang w:val="en-GB"/>
              </w:rPr>
              <w:t>and also</w:t>
            </w:r>
            <w:proofErr w:type="gramEnd"/>
            <w:r w:rsidRPr="00421FD4">
              <w:rPr>
                <w:rFonts w:ascii="Arial Nova" w:hAnsi="Arial Nova" w:cstheme="minorHAnsi"/>
                <w:sz w:val="16"/>
                <w:szCs w:val="16"/>
                <w:lang w:val="en-GB"/>
              </w:rPr>
              <w:t xml:space="preserve"> with their diverse information systems. And will need really </w:t>
            </w:r>
            <w:proofErr w:type="gramStart"/>
            <w:r w:rsidRPr="00421FD4">
              <w:rPr>
                <w:rFonts w:ascii="Arial Nova" w:hAnsi="Arial Nova" w:cstheme="minorHAnsi"/>
                <w:sz w:val="16"/>
                <w:szCs w:val="16"/>
                <w:lang w:val="en-GB"/>
              </w:rPr>
              <w:t>more stronger</w:t>
            </w:r>
            <w:proofErr w:type="gramEnd"/>
            <w:r w:rsidRPr="00421FD4">
              <w:rPr>
                <w:rFonts w:ascii="Arial Nova" w:hAnsi="Arial Nova" w:cstheme="minorHAnsi"/>
                <w:sz w:val="16"/>
                <w:szCs w:val="16"/>
                <w:lang w:val="en-GB"/>
              </w:rPr>
              <w:t xml:space="preserve"> reflection in either legislation in the new eHealth law, which is to be prepared soon. Or in other legislative documents. Because without </w:t>
            </w:r>
            <w:r w:rsidRPr="00421FD4">
              <w:rPr>
                <w:rFonts w:ascii="Arial Nova" w:hAnsi="Arial Nova" w:cstheme="minorHAnsi"/>
                <w:sz w:val="16"/>
                <w:szCs w:val="16"/>
                <w:lang w:val="en-GB"/>
              </w:rPr>
              <w:lastRenderedPageBreak/>
              <w:t xml:space="preserve">it would be </w:t>
            </w:r>
            <w:proofErr w:type="gramStart"/>
            <w:r w:rsidRPr="00421FD4">
              <w:rPr>
                <w:rFonts w:ascii="Arial Nova" w:hAnsi="Arial Nova" w:cstheme="minorHAnsi"/>
                <w:sz w:val="16"/>
                <w:szCs w:val="16"/>
                <w:lang w:val="en-GB"/>
              </w:rPr>
              <w:t>really difficult</w:t>
            </w:r>
            <w:proofErr w:type="gramEnd"/>
            <w:r w:rsidRPr="00421FD4">
              <w:rPr>
                <w:rFonts w:ascii="Arial Nova" w:hAnsi="Arial Nova" w:cstheme="minorHAnsi"/>
                <w:sz w:val="16"/>
                <w:szCs w:val="16"/>
                <w:lang w:val="en-GB"/>
              </w:rPr>
              <w:t xml:space="preserve"> to build any integration care or to do integration care as such in health care. Because sharing the information is essential. It is one of the key points we learned here […]”</w:t>
            </w:r>
          </w:p>
        </w:tc>
      </w:tr>
      <w:tr w:rsidR="0098674C" w:rsidRPr="00773FF1" w:rsidTr="0098674C">
        <w:trPr>
          <w:trHeight w:val="707"/>
        </w:trPr>
        <w:tc>
          <w:tcPr>
            <w:tcW w:w="833" w:type="pct"/>
          </w:tcPr>
          <w:p w:rsidR="0098674C" w:rsidRPr="00421FD4" w:rsidRDefault="0098674C" w:rsidP="00B50CD4">
            <w:pPr>
              <w:rPr>
                <w:rFonts w:ascii="Arial Nova" w:hAnsi="Arial Nova" w:cstheme="minorHAnsi"/>
                <w:sz w:val="16"/>
                <w:szCs w:val="16"/>
              </w:rPr>
            </w:pPr>
            <w:proofErr w:type="spellStart"/>
            <w:r w:rsidRPr="00421FD4">
              <w:rPr>
                <w:rFonts w:ascii="Arial Nova" w:hAnsi="Arial Nova" w:cstheme="minorHAnsi"/>
                <w:sz w:val="16"/>
                <w:szCs w:val="16"/>
              </w:rPr>
              <w:lastRenderedPageBreak/>
              <w:t>Receving</w:t>
            </w:r>
            <w:proofErr w:type="spellEnd"/>
            <w:r w:rsidRPr="00421FD4">
              <w:rPr>
                <w:rFonts w:ascii="Arial Nova" w:hAnsi="Arial Nova" w:cstheme="minorHAnsi"/>
                <w:sz w:val="16"/>
                <w:szCs w:val="16"/>
              </w:rPr>
              <w:t xml:space="preserve"> </w:t>
            </w:r>
            <w:proofErr w:type="spellStart"/>
            <w:r w:rsidRPr="00421FD4">
              <w:rPr>
                <w:rFonts w:ascii="Arial Nova" w:hAnsi="Arial Nova" w:cstheme="minorHAnsi"/>
                <w:sz w:val="16"/>
                <w:szCs w:val="16"/>
              </w:rPr>
              <w:t>region</w:t>
            </w:r>
            <w:proofErr w:type="spellEnd"/>
            <w:r w:rsidRPr="00421FD4">
              <w:rPr>
                <w:rFonts w:ascii="Arial Nova" w:hAnsi="Arial Nova" w:cstheme="minorHAnsi"/>
                <w:sz w:val="16"/>
                <w:szCs w:val="16"/>
              </w:rPr>
              <w:t xml:space="preserve"> 2</w:t>
            </w:r>
          </w:p>
        </w:tc>
        <w:tc>
          <w:tcPr>
            <w:tcW w:w="833"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For Olomouc, the challenge was described in the fact that “the role of ICT as an enabler of service redesign is not well recognised and digital healthcare services are not developed.” […] Hence the opportunity to learn about these features and their potential transferability to Olomouc region.”</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One respondent indicated about the problem:</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C1: “This is not only the practice as such but also some idea for our environment, our context in the Czech Republic. What we can do as this quite critical to do the changes in our system which is quite rigid. Quite resistant to any kind of change, of that kind, that means integration of various levels, of integration of social care. That means that this was a very good experience here </w:t>
            </w:r>
            <w:proofErr w:type="gramStart"/>
            <w:r w:rsidRPr="00421FD4">
              <w:rPr>
                <w:rFonts w:ascii="Arial Nova" w:hAnsi="Arial Nova" w:cstheme="minorHAnsi"/>
                <w:sz w:val="16"/>
                <w:szCs w:val="16"/>
                <w:lang w:val="en-GB"/>
              </w:rPr>
              <w:t>and also</w:t>
            </w:r>
            <w:proofErr w:type="gramEnd"/>
            <w:r w:rsidRPr="00421FD4">
              <w:rPr>
                <w:rFonts w:ascii="Arial Nova" w:hAnsi="Arial Nova" w:cstheme="minorHAnsi"/>
                <w:sz w:val="16"/>
                <w:szCs w:val="16"/>
                <w:lang w:val="en-GB"/>
              </w:rPr>
              <w:t xml:space="preserve"> make use of all the opportunities to get more information how it is done.”</w:t>
            </w:r>
          </w:p>
        </w:tc>
        <w:tc>
          <w:tcPr>
            <w:tcW w:w="833" w:type="pct"/>
          </w:tcPr>
          <w:p w:rsidR="0098674C" w:rsidRPr="00421FD4" w:rsidRDefault="0098674C" w:rsidP="00B50CD4">
            <w:pPr>
              <w:rPr>
                <w:rFonts w:ascii="Arial Nova" w:hAnsi="Arial Nova" w:cstheme="minorHAnsi"/>
                <w:sz w:val="16"/>
                <w:szCs w:val="16"/>
                <w:lang w:val="en-GB"/>
              </w:rPr>
            </w:pPr>
          </w:p>
        </w:tc>
        <w:tc>
          <w:tcPr>
            <w:tcW w:w="810" w:type="pct"/>
          </w:tcPr>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In the action plan of Basque country the problem was described as: “The Third Social Sector (TSS) in the Basque Country and the public sector collaborate in the provision of social services of general interest, however, the public sector needs to contemplate new forms of relationship with civil society that allow progress in a model of open administration and participatory governance and society.” […] “there is a need to involve the Third Social Sector in the provision of integrated care […], in particular in relation to financial sustainability of the services and lack of resources.” </w:t>
            </w:r>
          </w:p>
          <w:p w:rsidR="0098674C" w:rsidRPr="00421FD4" w:rsidRDefault="0098674C" w:rsidP="00B50CD4">
            <w:pPr>
              <w:rPr>
                <w:rFonts w:ascii="Arial Nova" w:hAnsi="Arial Nova" w:cstheme="minorHAnsi"/>
                <w:sz w:val="16"/>
                <w:szCs w:val="16"/>
                <w:lang w:val="en-GB"/>
              </w:rPr>
            </w:pPr>
          </w:p>
          <w:p w:rsidR="0098674C" w:rsidRPr="00421FD4" w:rsidRDefault="0098674C"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ES3: “From my point of view with the community at local level, this experience has helped me to realise that we shouldn’t make so much effort in trying to people participate in our initiatives. What we think is good for the community. Rather than watch and see where </w:t>
            </w:r>
            <w:proofErr w:type="gramStart"/>
            <w:r w:rsidRPr="00421FD4">
              <w:rPr>
                <w:rFonts w:ascii="Arial Nova" w:hAnsi="Arial Nova" w:cstheme="minorHAnsi"/>
                <w:sz w:val="16"/>
                <w:szCs w:val="16"/>
                <w:lang w:val="en-GB"/>
              </w:rPr>
              <w:t>are they</w:t>
            </w:r>
            <w:proofErr w:type="gramEnd"/>
            <w:r w:rsidRPr="00421FD4">
              <w:rPr>
                <w:rFonts w:ascii="Arial Nova" w:hAnsi="Arial Nova" w:cstheme="minorHAnsi"/>
                <w:sz w:val="16"/>
                <w:szCs w:val="16"/>
                <w:lang w:val="en-GB"/>
              </w:rPr>
              <w:t xml:space="preserve"> participating, where are they putting their interest, and try to facilitate their involvement in those activities.”</w:t>
            </w:r>
          </w:p>
        </w:tc>
        <w:tc>
          <w:tcPr>
            <w:tcW w:w="857" w:type="pct"/>
          </w:tcPr>
          <w:p w:rsidR="0098674C" w:rsidRPr="00421FD4" w:rsidRDefault="0098674C" w:rsidP="00B50CD4">
            <w:pPr>
              <w:rPr>
                <w:rFonts w:ascii="Arial Nova" w:hAnsi="Arial Nova" w:cstheme="minorHAnsi"/>
                <w:sz w:val="16"/>
                <w:szCs w:val="16"/>
                <w:lang w:val="en-GB"/>
              </w:rPr>
            </w:pPr>
          </w:p>
        </w:tc>
        <w:tc>
          <w:tcPr>
            <w:tcW w:w="834" w:type="pct"/>
          </w:tcPr>
          <w:p w:rsidR="0098674C" w:rsidRPr="00421FD4" w:rsidRDefault="0098674C" w:rsidP="00B50CD4">
            <w:pPr>
              <w:rPr>
                <w:rFonts w:ascii="Arial Nova" w:hAnsi="Arial Nova" w:cstheme="minorHAnsi"/>
                <w:sz w:val="16"/>
                <w:szCs w:val="16"/>
                <w:lang w:val="en-GB"/>
              </w:rPr>
            </w:pPr>
          </w:p>
        </w:tc>
      </w:tr>
    </w:tbl>
    <w:p w:rsidR="0098674C" w:rsidRPr="00421FD4" w:rsidRDefault="0098674C" w:rsidP="0098674C">
      <w:pPr>
        <w:rPr>
          <w:rFonts w:ascii="Arial Nova" w:hAnsi="Arial Nova"/>
          <w:lang w:val="en-GB"/>
        </w:rPr>
      </w:pPr>
    </w:p>
    <w:p w:rsidR="0098674C" w:rsidRPr="0098674C" w:rsidRDefault="0098674C">
      <w:pPr>
        <w:rPr>
          <w:lang w:val="en-GB"/>
        </w:rPr>
      </w:pPr>
    </w:p>
    <w:sectPr w:rsidR="0098674C" w:rsidRPr="0098674C" w:rsidSect="0098674C">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Nova">
    <w:altName w:val="Arial Nova"/>
    <w:charset w:val="00"/>
    <w:family w:val="swiss"/>
    <w:pitch w:val="variable"/>
    <w:sig w:usb0="2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74C"/>
    <w:rsid w:val="009867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A4110E-7E1E-4A02-ABE7-E98EA127C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8674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raster1">
    <w:name w:val="Tabelraster1"/>
    <w:basedOn w:val="Standaardtabel"/>
    <w:next w:val="Tabelraster"/>
    <w:uiPriority w:val="39"/>
    <w:rsid w:val="00986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986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1486</Words>
  <Characters>8176</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Fennechien GROOTEN</dc:creator>
  <cp:keywords/>
  <dc:description/>
  <cp:lastModifiedBy>Fennechien GROOTEN</cp:lastModifiedBy>
  <cp:revision>1</cp:revision>
  <dcterms:created xsi:type="dcterms:W3CDTF">2019-06-11T08:51:00Z</dcterms:created>
  <dcterms:modified xsi:type="dcterms:W3CDTF">2019-06-11T08:52:00Z</dcterms:modified>
</cp:coreProperties>
</file>