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AEC1D" w14:textId="18FD1616" w:rsidR="0017227B" w:rsidRDefault="00105A0A">
      <w:pPr>
        <w:pStyle w:val="Ttulo"/>
      </w:pPr>
      <w:r>
        <w:t>Supplementary</w:t>
      </w:r>
      <w:r w:rsidR="007B7143">
        <w:t xml:space="preserve"> Materials</w:t>
      </w:r>
      <w:r w:rsidR="0030222F">
        <w:t>.</w:t>
      </w:r>
      <w:r w:rsidR="007B7143">
        <w:t xml:space="preserve"> </w:t>
      </w:r>
      <w:r w:rsidR="0030222F">
        <w:br/>
      </w:r>
      <w:r w:rsidR="0030222F" w:rsidRPr="0030222F">
        <w:t>Epidemic Diffusion Network of Spain: a mobility model to characterize transmission routes of disease. A COVID-19 case study.</w:t>
      </w:r>
    </w:p>
    <w:p w14:paraId="48DE6AA8" w14:textId="77777777" w:rsidR="0017227B" w:rsidRDefault="0017227B" w:rsidP="0017227B">
      <w:pPr>
        <w:pStyle w:val="Textoindependiente"/>
      </w:pPr>
    </w:p>
    <w:p w14:paraId="4ECF8ADE" w14:textId="77777777" w:rsidR="00733E3D" w:rsidRDefault="00733E3D" w:rsidP="0017227B">
      <w:pPr>
        <w:pStyle w:val="Textoindependiente"/>
      </w:pPr>
    </w:p>
    <w:p w14:paraId="404EC9CC" w14:textId="2F56846C" w:rsidR="005D527C" w:rsidRPr="005D527C" w:rsidRDefault="005D527C" w:rsidP="005D527C">
      <w:pPr>
        <w:spacing w:after="0"/>
        <w:jc w:val="both"/>
        <w:rPr>
          <w:rFonts w:ascii="Times New Roman" w:hAnsi="Times New Roman"/>
          <w:lang w:val="en-GB"/>
        </w:rPr>
      </w:pPr>
      <w:r>
        <w:rPr>
          <w:rFonts w:ascii="Times New Roman" w:hAnsi="Times New Roman"/>
          <w:lang w:val="en-GB"/>
        </w:rPr>
        <w:t xml:space="preserve">Javier Del-Águila-Mejía </w:t>
      </w:r>
      <w:r>
        <w:rPr>
          <w:rFonts w:ascii="Times New Roman" w:hAnsi="Times New Roman"/>
          <w:vertAlign w:val="superscript"/>
          <w:lang w:val="en-GB"/>
        </w:rPr>
        <w:t>1,2,3</w:t>
      </w:r>
      <w:r>
        <w:rPr>
          <w:rFonts w:ascii="Times New Roman" w:hAnsi="Times New Roman"/>
          <w:lang w:val="en-GB"/>
        </w:rPr>
        <w:t xml:space="preserve">, </w:t>
      </w:r>
      <w:r>
        <w:rPr>
          <w:rFonts w:ascii="Times New Roman" w:hAnsi="Times New Roman"/>
        </w:rPr>
        <w:t xml:space="preserve">David García-García </w:t>
      </w:r>
      <w:r>
        <w:rPr>
          <w:rFonts w:ascii="Times New Roman" w:hAnsi="Times New Roman"/>
          <w:vertAlign w:val="superscript"/>
        </w:rPr>
        <w:t>2,4</w:t>
      </w:r>
      <w:r>
        <w:rPr>
          <w:rFonts w:ascii="Times New Roman" w:hAnsi="Times New Roman"/>
          <w:lang w:val="en-GB"/>
        </w:rPr>
        <w:t xml:space="preserve">, </w:t>
      </w:r>
      <w:proofErr w:type="spellStart"/>
      <w:r>
        <w:rPr>
          <w:rFonts w:ascii="Times New Roman" w:hAnsi="Times New Roman"/>
        </w:rPr>
        <w:t>Ayelén</w:t>
      </w:r>
      <w:proofErr w:type="spellEnd"/>
      <w:r>
        <w:rPr>
          <w:rFonts w:ascii="Times New Roman" w:hAnsi="Times New Roman"/>
        </w:rPr>
        <w:t xml:space="preserve"> Rojas-</w:t>
      </w:r>
      <w:proofErr w:type="spellStart"/>
      <w:r>
        <w:rPr>
          <w:rFonts w:ascii="Times New Roman" w:hAnsi="Times New Roman"/>
        </w:rPr>
        <w:t>Benedicto</w:t>
      </w:r>
      <w:proofErr w:type="spellEnd"/>
      <w:r>
        <w:rPr>
          <w:rFonts w:ascii="Times New Roman" w:hAnsi="Times New Roman"/>
        </w:rPr>
        <w:t xml:space="preserve"> </w:t>
      </w:r>
      <w:r>
        <w:rPr>
          <w:rFonts w:ascii="Times New Roman" w:hAnsi="Times New Roman"/>
          <w:vertAlign w:val="superscript"/>
        </w:rPr>
        <w:t>2,4,</w:t>
      </w:r>
      <w:proofErr w:type="gramStart"/>
      <w:r>
        <w:rPr>
          <w:rFonts w:ascii="Times New Roman" w:hAnsi="Times New Roman"/>
          <w:vertAlign w:val="superscript"/>
        </w:rPr>
        <w:t xml:space="preserve">5 </w:t>
      </w:r>
      <w:r>
        <w:rPr>
          <w:rFonts w:ascii="Times New Roman" w:hAnsi="Times New Roman"/>
          <w:lang w:val="en-GB"/>
        </w:rPr>
        <w:t>,</w:t>
      </w:r>
      <w:proofErr w:type="gramEnd"/>
      <w:r>
        <w:rPr>
          <w:rFonts w:ascii="Times New Roman" w:hAnsi="Times New Roman"/>
          <w:lang w:val="en-GB"/>
        </w:rPr>
        <w:t xml:space="preserve"> </w:t>
      </w:r>
      <w:r>
        <w:rPr>
          <w:rFonts w:ascii="Times New Roman" w:hAnsi="Times New Roman"/>
        </w:rPr>
        <w:t xml:space="preserve">Nicolás </w:t>
      </w:r>
      <w:proofErr w:type="spellStart"/>
      <w:r>
        <w:rPr>
          <w:rFonts w:ascii="Times New Roman" w:hAnsi="Times New Roman"/>
        </w:rPr>
        <w:t>Rosillo</w:t>
      </w:r>
      <w:proofErr w:type="spellEnd"/>
      <w:r>
        <w:rPr>
          <w:rFonts w:ascii="Times New Roman" w:hAnsi="Times New Roman"/>
        </w:rPr>
        <w:t xml:space="preserve"> </w:t>
      </w:r>
      <w:r>
        <w:rPr>
          <w:rFonts w:ascii="Times New Roman" w:hAnsi="Times New Roman"/>
          <w:vertAlign w:val="superscript"/>
        </w:rPr>
        <w:t>6</w:t>
      </w:r>
      <w:r>
        <w:rPr>
          <w:rFonts w:ascii="Times New Roman" w:hAnsi="Times New Roman"/>
          <w:lang w:val="en-GB"/>
        </w:rPr>
        <w:t xml:space="preserve">, </w:t>
      </w:r>
      <w:r>
        <w:rPr>
          <w:rFonts w:ascii="Times New Roman" w:hAnsi="Times New Roman"/>
        </w:rPr>
        <w:t>María Guerrero-</w:t>
      </w:r>
      <w:proofErr w:type="spellStart"/>
      <w:r>
        <w:rPr>
          <w:rFonts w:ascii="Times New Roman" w:hAnsi="Times New Roman"/>
        </w:rPr>
        <w:t>Vadillo</w:t>
      </w:r>
      <w:proofErr w:type="spellEnd"/>
      <w:r>
        <w:rPr>
          <w:rFonts w:ascii="Times New Roman" w:hAnsi="Times New Roman"/>
        </w:rPr>
        <w:t xml:space="preserve"> </w:t>
      </w:r>
      <w:r>
        <w:rPr>
          <w:rFonts w:ascii="Times New Roman" w:hAnsi="Times New Roman"/>
          <w:vertAlign w:val="superscript"/>
        </w:rPr>
        <w:t>2</w:t>
      </w:r>
      <w:r>
        <w:rPr>
          <w:rFonts w:ascii="Times New Roman" w:hAnsi="Times New Roman"/>
        </w:rPr>
        <w:t xml:space="preserve"> </w:t>
      </w:r>
      <w:r>
        <w:rPr>
          <w:rFonts w:ascii="Times New Roman" w:hAnsi="Times New Roman"/>
          <w:lang w:val="en-GB"/>
        </w:rPr>
        <w:t xml:space="preserve">, </w:t>
      </w:r>
      <w:r>
        <w:rPr>
          <w:rFonts w:ascii="Times New Roman" w:hAnsi="Times New Roman"/>
        </w:rPr>
        <w:t xml:space="preserve">Marina </w:t>
      </w:r>
      <w:proofErr w:type="spellStart"/>
      <w:r>
        <w:rPr>
          <w:rFonts w:ascii="Times New Roman" w:hAnsi="Times New Roman"/>
        </w:rPr>
        <w:t>Peñuelas</w:t>
      </w:r>
      <w:proofErr w:type="spellEnd"/>
      <w:r>
        <w:rPr>
          <w:rFonts w:ascii="Times New Roman" w:hAnsi="Times New Roman"/>
        </w:rPr>
        <w:t xml:space="preserve"> </w:t>
      </w:r>
      <w:r>
        <w:rPr>
          <w:rFonts w:ascii="Times New Roman" w:hAnsi="Times New Roman"/>
          <w:vertAlign w:val="superscript"/>
        </w:rPr>
        <w:t>2</w:t>
      </w:r>
      <w:r>
        <w:rPr>
          <w:rFonts w:ascii="Times New Roman" w:hAnsi="Times New Roman"/>
          <w:lang w:val="en-GB"/>
        </w:rPr>
        <w:t xml:space="preserve"> ,</w:t>
      </w:r>
      <w:r>
        <w:rPr>
          <w:rFonts w:ascii="Times New Roman" w:hAnsi="Times New Roman"/>
        </w:rPr>
        <w:t xml:space="preserve">Rebeca </w:t>
      </w:r>
      <w:proofErr w:type="spellStart"/>
      <w:r>
        <w:rPr>
          <w:rFonts w:ascii="Times New Roman" w:hAnsi="Times New Roman"/>
        </w:rPr>
        <w:t>Ramis</w:t>
      </w:r>
      <w:proofErr w:type="spellEnd"/>
      <w:r>
        <w:rPr>
          <w:rFonts w:ascii="Times New Roman" w:hAnsi="Times New Roman"/>
        </w:rPr>
        <w:t xml:space="preserve"> </w:t>
      </w:r>
      <w:r>
        <w:rPr>
          <w:rFonts w:ascii="Times New Roman" w:hAnsi="Times New Roman"/>
          <w:vertAlign w:val="superscript"/>
        </w:rPr>
        <w:t>2,4</w:t>
      </w:r>
      <w:r>
        <w:rPr>
          <w:rFonts w:ascii="Times New Roman" w:hAnsi="Times New Roman"/>
          <w:lang w:val="en-GB"/>
        </w:rPr>
        <w:t xml:space="preserve"> ,</w:t>
      </w:r>
      <w:r>
        <w:rPr>
          <w:rFonts w:ascii="Times New Roman" w:hAnsi="Times New Roman"/>
        </w:rPr>
        <w:t xml:space="preserve">Diana Gómez-Barroso </w:t>
      </w:r>
      <w:r>
        <w:rPr>
          <w:rFonts w:ascii="Times New Roman" w:hAnsi="Times New Roman"/>
          <w:vertAlign w:val="superscript"/>
        </w:rPr>
        <w:t>2,4</w:t>
      </w:r>
      <w:r>
        <w:rPr>
          <w:rFonts w:ascii="Times New Roman" w:hAnsi="Times New Roman"/>
          <w:lang w:val="en-GB"/>
        </w:rPr>
        <w:t xml:space="preserve"> ,</w:t>
      </w:r>
      <w:r>
        <w:rPr>
          <w:rFonts w:ascii="Times New Roman" w:hAnsi="Times New Roman"/>
        </w:rPr>
        <w:t xml:space="preserve">Juan de Mata </w:t>
      </w:r>
      <w:proofErr w:type="spellStart"/>
      <w:r>
        <w:rPr>
          <w:rFonts w:ascii="Times New Roman" w:hAnsi="Times New Roman"/>
        </w:rPr>
        <w:t>Donado</w:t>
      </w:r>
      <w:proofErr w:type="spellEnd"/>
      <w:r>
        <w:rPr>
          <w:rFonts w:ascii="Times New Roman" w:hAnsi="Times New Roman"/>
        </w:rPr>
        <w:t xml:space="preserve"> Campos </w:t>
      </w:r>
      <w:r>
        <w:rPr>
          <w:rFonts w:ascii="Times New Roman" w:hAnsi="Times New Roman"/>
          <w:vertAlign w:val="superscript"/>
        </w:rPr>
        <w:t>1,4</w:t>
      </w:r>
    </w:p>
    <w:p w14:paraId="29A07D50" w14:textId="77777777" w:rsidR="005D527C" w:rsidRDefault="005D527C" w:rsidP="005D527C">
      <w:pPr>
        <w:pStyle w:val="Prrafodelista"/>
        <w:numPr>
          <w:ilvl w:val="0"/>
          <w:numId w:val="3"/>
        </w:numPr>
        <w:spacing w:before="240" w:after="0" w:line="240" w:lineRule="auto"/>
        <w:jc w:val="both"/>
        <w:rPr>
          <w:rFonts w:ascii="Times New Roman" w:hAnsi="Times New Roman"/>
          <w:sz w:val="24"/>
          <w:szCs w:val="24"/>
        </w:rPr>
      </w:pPr>
      <w:r>
        <w:rPr>
          <w:rFonts w:ascii="Times New Roman" w:hAnsi="Times New Roman"/>
          <w:sz w:val="24"/>
          <w:szCs w:val="24"/>
        </w:rPr>
        <w:t xml:space="preserve">Departamento de Medicina Preventiva y Salud Pública y Microbiología, Facultad de Medicina. Universidad Autónoma de Madrid. C. </w:t>
      </w:r>
      <w:proofErr w:type="gramStart"/>
      <w:r>
        <w:rPr>
          <w:rFonts w:ascii="Times New Roman" w:hAnsi="Times New Roman"/>
          <w:sz w:val="24"/>
          <w:szCs w:val="24"/>
        </w:rPr>
        <w:t>Arzobispo</w:t>
      </w:r>
      <w:proofErr w:type="gramEnd"/>
      <w:r>
        <w:rPr>
          <w:rFonts w:ascii="Times New Roman" w:hAnsi="Times New Roman"/>
          <w:sz w:val="24"/>
          <w:szCs w:val="24"/>
        </w:rPr>
        <w:t xml:space="preserve"> Morcillo, 4, 28029 Madrid</w:t>
      </w:r>
    </w:p>
    <w:p w14:paraId="0CF4369D" w14:textId="77777777" w:rsidR="005D527C" w:rsidRDefault="005D527C" w:rsidP="005D527C">
      <w:pPr>
        <w:pStyle w:val="Prrafodelista"/>
        <w:numPr>
          <w:ilvl w:val="0"/>
          <w:numId w:val="3"/>
        </w:numPr>
        <w:spacing w:before="240" w:after="0" w:line="240" w:lineRule="auto"/>
        <w:jc w:val="both"/>
        <w:rPr>
          <w:rFonts w:ascii="Times New Roman" w:hAnsi="Times New Roman"/>
          <w:sz w:val="24"/>
          <w:szCs w:val="24"/>
        </w:rPr>
      </w:pPr>
      <w:r>
        <w:rPr>
          <w:rFonts w:ascii="Times New Roman" w:hAnsi="Times New Roman"/>
          <w:sz w:val="24"/>
          <w:szCs w:val="24"/>
        </w:rPr>
        <w:t xml:space="preserve">Centro Nacional de Epidemiología, Instituto de Salud Carlos IIII. Calle de Melchor Fernández Almagro, 5, 28029. Madrid, </w:t>
      </w:r>
      <w:proofErr w:type="spellStart"/>
      <w:r>
        <w:rPr>
          <w:rFonts w:ascii="Times New Roman" w:hAnsi="Times New Roman"/>
          <w:sz w:val="24"/>
          <w:szCs w:val="24"/>
        </w:rPr>
        <w:t>Spain</w:t>
      </w:r>
      <w:proofErr w:type="spellEnd"/>
      <w:r>
        <w:rPr>
          <w:rFonts w:ascii="Times New Roman" w:hAnsi="Times New Roman"/>
          <w:sz w:val="24"/>
          <w:szCs w:val="24"/>
        </w:rPr>
        <w:t>.</w:t>
      </w:r>
    </w:p>
    <w:p w14:paraId="0FDFE2A1" w14:textId="77777777" w:rsidR="005D527C" w:rsidRDefault="005D527C" w:rsidP="005D527C">
      <w:pPr>
        <w:pStyle w:val="Prrafodelista"/>
        <w:numPr>
          <w:ilvl w:val="0"/>
          <w:numId w:val="3"/>
        </w:numPr>
        <w:spacing w:before="240" w:after="0" w:line="240" w:lineRule="auto"/>
        <w:jc w:val="both"/>
        <w:rPr>
          <w:rFonts w:ascii="Times New Roman" w:hAnsi="Times New Roman"/>
          <w:sz w:val="24"/>
          <w:szCs w:val="24"/>
        </w:rPr>
      </w:pPr>
      <w:r>
        <w:rPr>
          <w:rFonts w:ascii="Times New Roman" w:hAnsi="Times New Roman"/>
          <w:sz w:val="24"/>
          <w:szCs w:val="24"/>
        </w:rPr>
        <w:t xml:space="preserve">Servicio de Medicina Preventiva, Hospital Universitario de Móstoles. Calle Río Júcar, s/n, 28935. Móstoles, </w:t>
      </w:r>
      <w:proofErr w:type="spellStart"/>
      <w:r>
        <w:rPr>
          <w:rFonts w:ascii="Times New Roman" w:hAnsi="Times New Roman"/>
          <w:sz w:val="24"/>
          <w:szCs w:val="24"/>
        </w:rPr>
        <w:t>Spain</w:t>
      </w:r>
      <w:proofErr w:type="spellEnd"/>
    </w:p>
    <w:p w14:paraId="1B05F9CE" w14:textId="77777777" w:rsidR="005D527C" w:rsidRDefault="005D527C" w:rsidP="005D527C">
      <w:pPr>
        <w:pStyle w:val="Prrafodelista"/>
        <w:numPr>
          <w:ilvl w:val="0"/>
          <w:numId w:val="3"/>
        </w:numPr>
        <w:spacing w:line="256" w:lineRule="auto"/>
        <w:rPr>
          <w:rFonts w:ascii="Times New Roman" w:hAnsi="Times New Roman"/>
          <w:sz w:val="24"/>
          <w:szCs w:val="24"/>
        </w:rPr>
      </w:pPr>
      <w:r>
        <w:rPr>
          <w:rFonts w:ascii="Times New Roman" w:hAnsi="Times New Roman"/>
          <w:sz w:val="24"/>
          <w:szCs w:val="24"/>
        </w:rPr>
        <w:t xml:space="preserve">Consorcio de Investigación Biomédica en Red de Epidemiología y Salud Pública (CIBERESP). Instituto de Salud Carlos III. Calle Monforte de Lemos 3-5. 28029. Madrid, </w:t>
      </w:r>
      <w:proofErr w:type="spellStart"/>
      <w:r>
        <w:rPr>
          <w:rFonts w:ascii="Times New Roman" w:hAnsi="Times New Roman"/>
          <w:sz w:val="24"/>
          <w:szCs w:val="24"/>
        </w:rPr>
        <w:t>Spain</w:t>
      </w:r>
      <w:proofErr w:type="spellEnd"/>
      <w:r>
        <w:rPr>
          <w:rFonts w:ascii="Times New Roman" w:hAnsi="Times New Roman"/>
          <w:sz w:val="24"/>
          <w:szCs w:val="24"/>
        </w:rPr>
        <w:t>.</w:t>
      </w:r>
    </w:p>
    <w:p w14:paraId="4F4D19F8" w14:textId="77777777" w:rsidR="005D527C" w:rsidRDefault="005D527C" w:rsidP="005D527C">
      <w:pPr>
        <w:pStyle w:val="Prrafodelista"/>
        <w:numPr>
          <w:ilvl w:val="0"/>
          <w:numId w:val="3"/>
        </w:numPr>
        <w:spacing w:line="256" w:lineRule="auto"/>
        <w:rPr>
          <w:rFonts w:ascii="Times New Roman" w:hAnsi="Times New Roman"/>
          <w:sz w:val="24"/>
          <w:szCs w:val="24"/>
        </w:rPr>
      </w:pPr>
      <w:r>
        <w:rPr>
          <w:rFonts w:ascii="Times New Roman" w:hAnsi="Times New Roman"/>
          <w:sz w:val="24"/>
          <w:szCs w:val="24"/>
        </w:rPr>
        <w:t xml:space="preserve">Universidad Nacional de Educación a Distancia (UNED). Calle de Bravo Murillo, 38. 28015. Madrid, </w:t>
      </w:r>
      <w:proofErr w:type="spellStart"/>
      <w:r>
        <w:rPr>
          <w:rFonts w:ascii="Times New Roman" w:hAnsi="Times New Roman"/>
          <w:sz w:val="24"/>
          <w:szCs w:val="24"/>
        </w:rPr>
        <w:t>Spain</w:t>
      </w:r>
      <w:proofErr w:type="spellEnd"/>
      <w:r>
        <w:rPr>
          <w:rFonts w:ascii="Times New Roman" w:hAnsi="Times New Roman"/>
          <w:sz w:val="24"/>
          <w:szCs w:val="24"/>
        </w:rPr>
        <w:t>.</w:t>
      </w:r>
    </w:p>
    <w:p w14:paraId="5BEA1988" w14:textId="77777777" w:rsidR="005D527C" w:rsidRDefault="005D527C" w:rsidP="005D527C">
      <w:pPr>
        <w:pStyle w:val="Prrafodelista"/>
        <w:numPr>
          <w:ilvl w:val="0"/>
          <w:numId w:val="3"/>
        </w:numPr>
        <w:spacing w:line="256" w:lineRule="auto"/>
        <w:rPr>
          <w:rFonts w:ascii="Arial" w:hAnsi="Arial" w:cs="Arial"/>
          <w:sz w:val="24"/>
          <w:szCs w:val="24"/>
        </w:rPr>
      </w:pPr>
      <w:r>
        <w:rPr>
          <w:rFonts w:ascii="Times New Roman" w:hAnsi="Times New Roman"/>
          <w:sz w:val="24"/>
          <w:szCs w:val="24"/>
        </w:rPr>
        <w:t xml:space="preserve">Servicio de Medicina Preventiva, Hospital Universitario 12 de </w:t>
      </w:r>
      <w:proofErr w:type="gramStart"/>
      <w:r>
        <w:rPr>
          <w:rFonts w:ascii="Times New Roman" w:hAnsi="Times New Roman"/>
          <w:sz w:val="24"/>
          <w:szCs w:val="24"/>
        </w:rPr>
        <w:t>Octubre</w:t>
      </w:r>
      <w:proofErr w:type="gramEnd"/>
      <w:r>
        <w:rPr>
          <w:rFonts w:ascii="Times New Roman" w:hAnsi="Times New Roman"/>
          <w:sz w:val="24"/>
          <w:szCs w:val="24"/>
        </w:rPr>
        <w:t xml:space="preserve">. Avenida de Córdoba, s/n, 28041. Madrid, </w:t>
      </w:r>
      <w:proofErr w:type="spellStart"/>
      <w:r>
        <w:rPr>
          <w:rFonts w:ascii="Times New Roman" w:hAnsi="Times New Roman"/>
          <w:sz w:val="24"/>
          <w:szCs w:val="24"/>
        </w:rPr>
        <w:t>Spain</w:t>
      </w:r>
      <w:proofErr w:type="spellEnd"/>
      <w:r>
        <w:rPr>
          <w:rFonts w:ascii="Times New Roman" w:hAnsi="Times New Roman"/>
          <w:sz w:val="24"/>
          <w:szCs w:val="24"/>
        </w:rPr>
        <w:t>.</w:t>
      </w:r>
    </w:p>
    <w:p w14:paraId="3EE25976" w14:textId="77777777" w:rsidR="005D527C" w:rsidRPr="00D67900" w:rsidRDefault="005D527C" w:rsidP="005D527C">
      <w:pPr>
        <w:rPr>
          <w:rFonts w:ascii="Times New Roman" w:hAnsi="Times New Roman"/>
        </w:rPr>
      </w:pPr>
      <w:r w:rsidRPr="00D67900">
        <w:rPr>
          <w:rFonts w:ascii="Times New Roman" w:hAnsi="Times New Roman"/>
        </w:rPr>
        <w:t xml:space="preserve">Corresponding author: Javier Del Águila Mejía. </w:t>
      </w:r>
      <w:hyperlink r:id="rId8" w:history="1">
        <w:r w:rsidRPr="009E2588">
          <w:rPr>
            <w:rStyle w:val="Hipervnculo"/>
            <w:rFonts w:ascii="Times New Roman" w:hAnsi="Times New Roman"/>
          </w:rPr>
          <w:t>javidelaguila@gmail.com</w:t>
        </w:r>
      </w:hyperlink>
      <w:r>
        <w:rPr>
          <w:rFonts w:ascii="Times New Roman" w:hAnsi="Times New Roman"/>
        </w:rPr>
        <w:br/>
        <w:t xml:space="preserve">Co-senior authors: Juan de Mata </w:t>
      </w:r>
      <w:proofErr w:type="spellStart"/>
      <w:r>
        <w:rPr>
          <w:rFonts w:ascii="Times New Roman" w:hAnsi="Times New Roman"/>
        </w:rPr>
        <w:t>Donado</w:t>
      </w:r>
      <w:proofErr w:type="spellEnd"/>
      <w:r>
        <w:rPr>
          <w:rFonts w:ascii="Times New Roman" w:hAnsi="Times New Roman"/>
        </w:rPr>
        <w:t xml:space="preserve"> Campos and Diana Gómez-Barroso</w:t>
      </w:r>
    </w:p>
    <w:p w14:paraId="3CD7794F" w14:textId="77777777" w:rsidR="0030222F" w:rsidRDefault="0030222F" w:rsidP="0017227B">
      <w:pPr>
        <w:pStyle w:val="Textoindependiente"/>
      </w:pPr>
    </w:p>
    <w:sdt>
      <w:sdtPr>
        <w:rPr>
          <w:rFonts w:asciiTheme="minorHAnsi" w:eastAsiaTheme="minorHAnsi" w:hAnsiTheme="minorHAnsi" w:cstheme="minorBidi"/>
          <w:color w:val="auto"/>
          <w:sz w:val="24"/>
          <w:szCs w:val="24"/>
          <w:lang w:val="es-ES"/>
        </w:rPr>
        <w:id w:val="1412496692"/>
        <w:docPartObj>
          <w:docPartGallery w:val="Table of Contents"/>
          <w:docPartUnique/>
        </w:docPartObj>
      </w:sdtPr>
      <w:sdtEndPr>
        <w:rPr>
          <w:b/>
          <w:bCs/>
        </w:rPr>
      </w:sdtEndPr>
      <w:sdtContent>
        <w:p w14:paraId="5F4D55A8" w14:textId="747DCE3D" w:rsidR="00EE01C1" w:rsidRDefault="002D417C">
          <w:pPr>
            <w:pStyle w:val="TtuloTDC"/>
          </w:pPr>
          <w:r>
            <w:rPr>
              <w:lang w:val="es-ES"/>
            </w:rPr>
            <w:t>Content table</w:t>
          </w:r>
        </w:p>
        <w:p w14:paraId="75F1DF20" w14:textId="5B87663B" w:rsidR="00733E3D" w:rsidRDefault="00EE01C1">
          <w:pPr>
            <w:pStyle w:val="TDC3"/>
            <w:tabs>
              <w:tab w:val="right" w:leader="dot" w:pos="8828"/>
            </w:tabs>
            <w:rPr>
              <w:rFonts w:eastAsiaTheme="minorEastAsia"/>
              <w:noProof/>
              <w:sz w:val="22"/>
              <w:szCs w:val="22"/>
            </w:rPr>
          </w:pPr>
          <w:r>
            <w:fldChar w:fldCharType="begin"/>
          </w:r>
          <w:r>
            <w:instrText xml:space="preserve"> TOC \o "1-3" \h \z \u </w:instrText>
          </w:r>
          <w:r>
            <w:fldChar w:fldCharType="separate"/>
          </w:r>
          <w:hyperlink w:anchor="_Toc105580911" w:history="1">
            <w:r w:rsidR="00733E3D" w:rsidRPr="007635F2">
              <w:rPr>
                <w:rStyle w:val="Hipervnculo"/>
                <w:noProof/>
              </w:rPr>
              <w:t>Defining a Mobility Matrix to sum up mobility in Spain</w:t>
            </w:r>
            <w:r w:rsidR="00733E3D">
              <w:rPr>
                <w:noProof/>
                <w:webHidden/>
              </w:rPr>
              <w:tab/>
            </w:r>
            <w:r w:rsidR="00733E3D">
              <w:rPr>
                <w:noProof/>
                <w:webHidden/>
              </w:rPr>
              <w:fldChar w:fldCharType="begin"/>
            </w:r>
            <w:r w:rsidR="00733E3D">
              <w:rPr>
                <w:noProof/>
                <w:webHidden/>
              </w:rPr>
              <w:instrText xml:space="preserve"> PAGEREF _Toc105580911 \h </w:instrText>
            </w:r>
            <w:r w:rsidR="00733E3D">
              <w:rPr>
                <w:noProof/>
                <w:webHidden/>
              </w:rPr>
            </w:r>
            <w:r w:rsidR="00733E3D">
              <w:rPr>
                <w:noProof/>
                <w:webHidden/>
              </w:rPr>
              <w:fldChar w:fldCharType="separate"/>
            </w:r>
            <w:r w:rsidR="00733E3D">
              <w:rPr>
                <w:noProof/>
                <w:webHidden/>
              </w:rPr>
              <w:t>2</w:t>
            </w:r>
            <w:r w:rsidR="00733E3D">
              <w:rPr>
                <w:noProof/>
                <w:webHidden/>
              </w:rPr>
              <w:fldChar w:fldCharType="end"/>
            </w:r>
          </w:hyperlink>
        </w:p>
        <w:p w14:paraId="5B09C503" w14:textId="7C897E15" w:rsidR="00733E3D" w:rsidRDefault="00AD4B47">
          <w:pPr>
            <w:pStyle w:val="TDC3"/>
            <w:tabs>
              <w:tab w:val="right" w:leader="dot" w:pos="8828"/>
            </w:tabs>
            <w:rPr>
              <w:rFonts w:eastAsiaTheme="minorEastAsia"/>
              <w:noProof/>
              <w:sz w:val="22"/>
              <w:szCs w:val="22"/>
            </w:rPr>
          </w:pPr>
          <w:hyperlink w:anchor="_Toc105580912" w:history="1">
            <w:r w:rsidR="00733E3D" w:rsidRPr="007635F2">
              <w:rPr>
                <w:rStyle w:val="Hipervnculo"/>
                <w:noProof/>
              </w:rPr>
              <w:t>Stable matrix of connections</w:t>
            </w:r>
            <w:r w:rsidR="00733E3D">
              <w:rPr>
                <w:noProof/>
                <w:webHidden/>
              </w:rPr>
              <w:tab/>
            </w:r>
            <w:r w:rsidR="00733E3D">
              <w:rPr>
                <w:noProof/>
                <w:webHidden/>
              </w:rPr>
              <w:fldChar w:fldCharType="begin"/>
            </w:r>
            <w:r w:rsidR="00733E3D">
              <w:rPr>
                <w:noProof/>
                <w:webHidden/>
              </w:rPr>
              <w:instrText xml:space="preserve"> PAGEREF _Toc105580912 \h </w:instrText>
            </w:r>
            <w:r w:rsidR="00733E3D">
              <w:rPr>
                <w:noProof/>
                <w:webHidden/>
              </w:rPr>
            </w:r>
            <w:r w:rsidR="00733E3D">
              <w:rPr>
                <w:noProof/>
                <w:webHidden/>
              </w:rPr>
              <w:fldChar w:fldCharType="separate"/>
            </w:r>
            <w:r w:rsidR="00733E3D">
              <w:rPr>
                <w:noProof/>
                <w:webHidden/>
              </w:rPr>
              <w:t>7</w:t>
            </w:r>
            <w:r w:rsidR="00733E3D">
              <w:rPr>
                <w:noProof/>
                <w:webHidden/>
              </w:rPr>
              <w:fldChar w:fldCharType="end"/>
            </w:r>
          </w:hyperlink>
        </w:p>
        <w:p w14:paraId="20D7DDA2" w14:textId="47DF3557" w:rsidR="00733E3D" w:rsidRDefault="00AD4B47">
          <w:pPr>
            <w:pStyle w:val="TDC3"/>
            <w:tabs>
              <w:tab w:val="right" w:leader="dot" w:pos="8828"/>
            </w:tabs>
            <w:rPr>
              <w:rFonts w:eastAsiaTheme="minorEastAsia"/>
              <w:noProof/>
              <w:sz w:val="22"/>
              <w:szCs w:val="22"/>
            </w:rPr>
          </w:pPr>
          <w:hyperlink w:anchor="_Toc105580913" w:history="1">
            <w:r w:rsidR="00733E3D" w:rsidRPr="007635F2">
              <w:rPr>
                <w:rStyle w:val="Hipervnculo"/>
                <w:noProof/>
              </w:rPr>
              <w:t>From the Mobility Matrix to the Epidemic Diffusion Network</w:t>
            </w:r>
            <w:r w:rsidR="00733E3D">
              <w:rPr>
                <w:noProof/>
                <w:webHidden/>
              </w:rPr>
              <w:tab/>
            </w:r>
            <w:r w:rsidR="00733E3D">
              <w:rPr>
                <w:noProof/>
                <w:webHidden/>
              </w:rPr>
              <w:fldChar w:fldCharType="begin"/>
            </w:r>
            <w:r w:rsidR="00733E3D">
              <w:rPr>
                <w:noProof/>
                <w:webHidden/>
              </w:rPr>
              <w:instrText xml:space="preserve"> PAGEREF _Toc105580913 \h </w:instrText>
            </w:r>
            <w:r w:rsidR="00733E3D">
              <w:rPr>
                <w:noProof/>
                <w:webHidden/>
              </w:rPr>
            </w:r>
            <w:r w:rsidR="00733E3D">
              <w:rPr>
                <w:noProof/>
                <w:webHidden/>
              </w:rPr>
              <w:fldChar w:fldCharType="separate"/>
            </w:r>
            <w:r w:rsidR="00733E3D">
              <w:rPr>
                <w:noProof/>
                <w:webHidden/>
              </w:rPr>
              <w:t>8</w:t>
            </w:r>
            <w:r w:rsidR="00733E3D">
              <w:rPr>
                <w:noProof/>
                <w:webHidden/>
              </w:rPr>
              <w:fldChar w:fldCharType="end"/>
            </w:r>
          </w:hyperlink>
        </w:p>
        <w:p w14:paraId="145E45A7" w14:textId="4064B9AA" w:rsidR="00733E3D" w:rsidRDefault="00AD4B47">
          <w:pPr>
            <w:pStyle w:val="TDC3"/>
            <w:tabs>
              <w:tab w:val="right" w:leader="dot" w:pos="8828"/>
            </w:tabs>
            <w:rPr>
              <w:rFonts w:eastAsiaTheme="minorEastAsia"/>
              <w:noProof/>
              <w:sz w:val="22"/>
              <w:szCs w:val="22"/>
            </w:rPr>
          </w:pPr>
          <w:hyperlink w:anchor="_Toc105580914" w:history="1">
            <w:r w:rsidR="00733E3D" w:rsidRPr="007635F2">
              <w:rPr>
                <w:rStyle w:val="Hipervnculo"/>
                <w:noProof/>
              </w:rPr>
              <w:t>Table S1. Epidemic Diffusion Network measures by province and community</w:t>
            </w:r>
            <w:r w:rsidR="00733E3D">
              <w:rPr>
                <w:noProof/>
                <w:webHidden/>
              </w:rPr>
              <w:tab/>
            </w:r>
            <w:r w:rsidR="00733E3D">
              <w:rPr>
                <w:noProof/>
                <w:webHidden/>
              </w:rPr>
              <w:fldChar w:fldCharType="begin"/>
            </w:r>
            <w:r w:rsidR="00733E3D">
              <w:rPr>
                <w:noProof/>
                <w:webHidden/>
              </w:rPr>
              <w:instrText xml:space="preserve"> PAGEREF _Toc105580914 \h </w:instrText>
            </w:r>
            <w:r w:rsidR="00733E3D">
              <w:rPr>
                <w:noProof/>
                <w:webHidden/>
              </w:rPr>
            </w:r>
            <w:r w:rsidR="00733E3D">
              <w:rPr>
                <w:noProof/>
                <w:webHidden/>
              </w:rPr>
              <w:fldChar w:fldCharType="separate"/>
            </w:r>
            <w:r w:rsidR="00733E3D">
              <w:rPr>
                <w:noProof/>
                <w:webHidden/>
              </w:rPr>
              <w:t>9</w:t>
            </w:r>
            <w:r w:rsidR="00733E3D">
              <w:rPr>
                <w:noProof/>
                <w:webHidden/>
              </w:rPr>
              <w:fldChar w:fldCharType="end"/>
            </w:r>
          </w:hyperlink>
        </w:p>
        <w:p w14:paraId="7FA2DB2D" w14:textId="0C5131B6" w:rsidR="00733E3D" w:rsidRDefault="00AD4B47">
          <w:pPr>
            <w:pStyle w:val="TDC3"/>
            <w:tabs>
              <w:tab w:val="right" w:leader="dot" w:pos="8828"/>
            </w:tabs>
            <w:rPr>
              <w:rFonts w:eastAsiaTheme="minorEastAsia"/>
              <w:noProof/>
              <w:sz w:val="22"/>
              <w:szCs w:val="22"/>
            </w:rPr>
          </w:pPr>
          <w:hyperlink w:anchor="_Toc105580915" w:history="1">
            <w:r w:rsidR="00733E3D" w:rsidRPr="007635F2">
              <w:rPr>
                <w:rStyle w:val="Hipervnculo"/>
                <w:noProof/>
              </w:rPr>
              <w:t>Community structure from the EDN: hierarchical clustering</w:t>
            </w:r>
            <w:r w:rsidR="00733E3D">
              <w:rPr>
                <w:noProof/>
                <w:webHidden/>
              </w:rPr>
              <w:tab/>
            </w:r>
            <w:r w:rsidR="00733E3D">
              <w:rPr>
                <w:noProof/>
                <w:webHidden/>
              </w:rPr>
              <w:fldChar w:fldCharType="begin"/>
            </w:r>
            <w:r w:rsidR="00733E3D">
              <w:rPr>
                <w:noProof/>
                <w:webHidden/>
              </w:rPr>
              <w:instrText xml:space="preserve"> PAGEREF _Toc105580915 \h </w:instrText>
            </w:r>
            <w:r w:rsidR="00733E3D">
              <w:rPr>
                <w:noProof/>
                <w:webHidden/>
              </w:rPr>
            </w:r>
            <w:r w:rsidR="00733E3D">
              <w:rPr>
                <w:noProof/>
                <w:webHidden/>
              </w:rPr>
              <w:fldChar w:fldCharType="separate"/>
            </w:r>
            <w:r w:rsidR="00733E3D">
              <w:rPr>
                <w:noProof/>
                <w:webHidden/>
              </w:rPr>
              <w:t>11</w:t>
            </w:r>
            <w:r w:rsidR="00733E3D">
              <w:rPr>
                <w:noProof/>
                <w:webHidden/>
              </w:rPr>
              <w:fldChar w:fldCharType="end"/>
            </w:r>
          </w:hyperlink>
        </w:p>
        <w:p w14:paraId="665D49FE" w14:textId="25BF4070" w:rsidR="00733E3D" w:rsidRDefault="00EE01C1">
          <w:pPr>
            <w:rPr>
              <w:b/>
              <w:bCs/>
              <w:lang w:val="es-ES"/>
            </w:rPr>
          </w:pPr>
          <w:r>
            <w:rPr>
              <w:b/>
              <w:bCs/>
              <w:lang w:val="es-ES"/>
            </w:rPr>
            <w:fldChar w:fldCharType="end"/>
          </w:r>
        </w:p>
      </w:sdtContent>
    </w:sdt>
    <w:p w14:paraId="64BAEC1E" w14:textId="5F9E2C67" w:rsidR="00703E08" w:rsidRDefault="008E06BA" w:rsidP="00F94685">
      <w:pPr>
        <w:pStyle w:val="Ttulo3"/>
      </w:pPr>
      <w:bookmarkStart w:id="0" w:name="_Toc105580911"/>
      <w:bookmarkStart w:id="1" w:name="building-up-a-mobility-network"/>
      <w:r>
        <w:lastRenderedPageBreak/>
        <w:t xml:space="preserve">Defining a </w:t>
      </w:r>
      <w:r w:rsidR="007B7143">
        <w:t xml:space="preserve">Mobility </w:t>
      </w:r>
      <w:r w:rsidR="00D61BAD">
        <w:t>Matrix to sum up mobility in Spain</w:t>
      </w:r>
      <w:bookmarkEnd w:id="0"/>
    </w:p>
    <w:p w14:paraId="003BD89C" w14:textId="5D8CA845" w:rsidR="00A5297C" w:rsidRDefault="007B7143" w:rsidP="005439B6">
      <w:pPr>
        <w:pStyle w:val="FirstParagraph"/>
        <w:spacing w:line="360" w:lineRule="auto"/>
        <w:jc w:val="both"/>
      </w:pPr>
      <w:r>
        <w:t xml:space="preserve">To </w:t>
      </w:r>
      <w:r w:rsidR="00D61BAD">
        <w:t>define</w:t>
      </w:r>
      <w:r>
        <w:t xml:space="preserve"> a Mobility Matrix (MM) implies the assumption that stable patterns can be derived from brute daily number of </w:t>
      </w:r>
      <w:r w:rsidR="00582982">
        <w:t>travels</w:t>
      </w:r>
      <w:r>
        <w:t xml:space="preserve"> in Spain. </w:t>
      </w:r>
      <w:r w:rsidR="003436B3">
        <w:t>Figure 1 in main text depicts this aggregated brute mobility</w:t>
      </w:r>
      <w:r w:rsidR="00BA6470">
        <w:t xml:space="preserve">, but it fails to </w:t>
      </w:r>
      <w:r w:rsidR="007A37AF">
        <w:t xml:space="preserve">reflect the behavior at the underlying province level which </w:t>
      </w:r>
      <w:r w:rsidR="00666F63">
        <w:t>we considered the geographical unit of study</w:t>
      </w:r>
      <w:r w:rsidR="00F2650C">
        <w:t>.</w:t>
      </w:r>
      <w:r w:rsidR="00666F63">
        <w:t xml:space="preserve"> </w:t>
      </w:r>
    </w:p>
    <w:p w14:paraId="64BAEC1F" w14:textId="47761466" w:rsidR="00703E08" w:rsidRDefault="007B7143" w:rsidP="00747239">
      <w:pPr>
        <w:pStyle w:val="FirstParagraph"/>
        <w:spacing w:after="0" w:line="360" w:lineRule="auto"/>
        <w:jc w:val="both"/>
      </w:pPr>
      <w:r>
        <w:t xml:space="preserve">Between any two provinces </w:t>
      </w:r>
      <m:oMath>
        <m:r>
          <w:rPr>
            <w:rFonts w:ascii="Cambria Math" w:hAnsi="Cambria Math"/>
          </w:rPr>
          <m:t>m</m:t>
        </m:r>
      </m:oMath>
      <w:r>
        <w:t xml:space="preserve"> and </w:t>
      </w:r>
      <m:oMath>
        <m:r>
          <w:rPr>
            <w:rFonts w:ascii="Cambria Math" w:hAnsi="Cambria Math"/>
          </w:rPr>
          <m:t>n</m:t>
        </m:r>
      </m:oMath>
      <w:r>
        <w:t xml:space="preserve">, there is a flux of total travelers </w:t>
      </w:r>
      <m:oMath>
        <m:sSub>
          <m:sSubPr>
            <m:ctrlPr>
              <w:rPr>
                <w:rFonts w:ascii="Cambria Math" w:hAnsi="Cambria Math"/>
              </w:rPr>
            </m:ctrlPr>
          </m:sSubPr>
          <m:e>
            <m:r>
              <w:rPr>
                <w:rFonts w:ascii="Cambria Math" w:hAnsi="Cambria Math"/>
              </w:rPr>
              <m:t>F</m:t>
            </m:r>
          </m:e>
          <m:sub>
            <m:r>
              <w:rPr>
                <w:rFonts w:ascii="Cambria Math" w:hAnsi="Cambria Math"/>
              </w:rPr>
              <m:t>nm</m:t>
            </m:r>
          </m:sub>
        </m:sSub>
      </m:oMath>
      <w:r>
        <w:t xml:space="preserve"> </w:t>
      </w:r>
      <w:r w:rsidR="004660F7">
        <w:t xml:space="preserve">moving from </w:t>
      </w:r>
      <w:r w:rsidR="004660F7" w:rsidRPr="004660F7">
        <w:rPr>
          <w:i/>
          <w:iCs/>
        </w:rPr>
        <w:t>m</w:t>
      </w:r>
      <w:r w:rsidR="004660F7">
        <w:t xml:space="preserve"> </w:t>
      </w:r>
      <w:proofErr w:type="spellStart"/>
      <w:r w:rsidR="004660F7">
        <w:t xml:space="preserve">to </w:t>
      </w:r>
      <w:r w:rsidR="004660F7" w:rsidRPr="004660F7">
        <w:rPr>
          <w:i/>
          <w:iCs/>
        </w:rPr>
        <w:t>n</w:t>
      </w:r>
      <w:proofErr w:type="spellEnd"/>
      <w:r w:rsidR="004660F7">
        <w:t xml:space="preserve">, </w:t>
      </w:r>
      <w:r>
        <w:t xml:space="preserve">and </w:t>
      </w:r>
      <m:oMath>
        <m:sSub>
          <m:sSubPr>
            <m:ctrlPr>
              <w:rPr>
                <w:rFonts w:ascii="Cambria Math" w:hAnsi="Cambria Math"/>
              </w:rPr>
            </m:ctrlPr>
          </m:sSubPr>
          <m:e>
            <m:r>
              <w:rPr>
                <w:rFonts w:ascii="Cambria Math" w:hAnsi="Cambria Math"/>
              </w:rPr>
              <m:t>F</m:t>
            </m:r>
          </m:e>
          <m:sub>
            <m:r>
              <w:rPr>
                <w:rFonts w:ascii="Cambria Math" w:hAnsi="Cambria Math"/>
              </w:rPr>
              <m:t>mn</m:t>
            </m:r>
          </m:sub>
        </m:sSub>
      </m:oMath>
      <w:r w:rsidR="00A5297C">
        <w:rPr>
          <w:rFonts w:eastAsiaTheme="minorEastAsia"/>
        </w:rPr>
        <w:t xml:space="preserve"> </w:t>
      </w:r>
      <w:r w:rsidR="001E1A55">
        <w:rPr>
          <w:rFonts w:eastAsiaTheme="minorEastAsia"/>
        </w:rPr>
        <w:t xml:space="preserve">in </w:t>
      </w:r>
      <w:r w:rsidR="00A5297C">
        <w:rPr>
          <w:rFonts w:eastAsiaTheme="minorEastAsia"/>
        </w:rPr>
        <w:t>the opposite</w:t>
      </w:r>
      <w:r w:rsidR="00A051CF">
        <w:rPr>
          <w:rFonts w:eastAsiaTheme="minorEastAsia"/>
        </w:rPr>
        <w:t xml:space="preserve"> direction</w:t>
      </w:r>
      <w:r>
        <w:t>.</w:t>
      </w:r>
      <w:r w:rsidR="000B659B">
        <w:t xml:space="preserve"> These fluxes allow to understand </w:t>
      </w:r>
      <w:r w:rsidR="00A46166">
        <w:t xml:space="preserve">true </w:t>
      </w:r>
      <w:r w:rsidR="000B659B">
        <w:t>mobility dynamics</w:t>
      </w:r>
      <w:r w:rsidR="00A46166">
        <w:t xml:space="preserve"> and their characteristics. We will be using data from Madrid </w:t>
      </w:r>
      <w:r w:rsidR="00E05D00">
        <w:t xml:space="preserve">(capital of Spain) </w:t>
      </w:r>
      <w:r w:rsidR="00A46166">
        <w:t xml:space="preserve">and one </w:t>
      </w:r>
      <w:r w:rsidR="00417666">
        <w:t>adjacent</w:t>
      </w:r>
      <w:r w:rsidR="00A46166">
        <w:t xml:space="preserve"> province, Guadalajara, </w:t>
      </w:r>
      <w:r w:rsidR="00417666">
        <w:t>to</w:t>
      </w:r>
      <w:r w:rsidR="00A46166">
        <w:t xml:space="preserve"> discuss some properties relevant to posterior analysis.</w:t>
      </w:r>
      <w:r w:rsidR="00975AB9">
        <w:t xml:space="preserve"> </w:t>
      </w:r>
      <w:r w:rsidR="000321B5">
        <w:t xml:space="preserve"> It is important to notice that </w:t>
      </w:r>
      <w:r w:rsidR="00975AB9">
        <w:t xml:space="preserve">Madrid is a mega-region of 6,6 million inhabitants with a daily mean of around 450.000 travelers (14,6% </w:t>
      </w:r>
      <w:r w:rsidR="000321B5">
        <w:t>of its total population</w:t>
      </w:r>
      <w:r w:rsidR="00975AB9">
        <w:t xml:space="preserve">), while Guadalajara is only 260.000 inhabitants with around 100.000 daily travelers (39% </w:t>
      </w:r>
      <w:r w:rsidR="000321B5">
        <w:t>of its population</w:t>
      </w:r>
      <w:r w:rsidR="00975AB9">
        <w:t xml:space="preserve">). </w:t>
      </w:r>
    </w:p>
    <w:p w14:paraId="74B2EFEE" w14:textId="0017F7FE" w:rsidR="003B3B22" w:rsidRDefault="003B3B22" w:rsidP="003B3B22">
      <w:pPr>
        <w:pStyle w:val="Textoindependiente"/>
        <w:spacing w:line="360" w:lineRule="auto"/>
        <w:jc w:val="both"/>
      </w:pPr>
      <w:r>
        <w:t xml:space="preserve">Figure S1 depicts weekly travelers between the two provinces during 2020 and daily travelers during the summer. Both fluxes </w:t>
      </w:r>
      <w:r w:rsidRPr="00B40788">
        <w:t>show</w:t>
      </w:r>
      <w:r>
        <w:t xml:space="preserve"> an almost perfect overlap between the two provinces. We can observe several effects: Weekly-aggregated travels follow the same national trend shown in figure 1 in the main text, affected by travel restriction</w:t>
      </w:r>
      <w:r w:rsidR="001E1A55">
        <w:t>s</w:t>
      </w:r>
      <w:r>
        <w:t xml:space="preserve"> put in place by the government. When observing the daily mobility pattern, first we </w:t>
      </w:r>
      <w:r w:rsidR="007D1402">
        <w:t>notice</w:t>
      </w:r>
      <w:r>
        <w:t xml:space="preserve"> the weekend patter</w:t>
      </w:r>
      <w:r w:rsidR="001E1A55">
        <w:t>n</w:t>
      </w:r>
      <w:r>
        <w:t xml:space="preserve"> with peak mobility over Fridays and Sundays, and also a flux being of higher magnitude (the one from Madrid). Finally, a seasonal variation can be </w:t>
      </w:r>
      <w:r w:rsidR="007D1402">
        <w:t>seen</w:t>
      </w:r>
      <w:r>
        <w:t xml:space="preserve"> during the month of August, with a decline in regular mobility that is restored in September.</w:t>
      </w:r>
    </w:p>
    <w:p w14:paraId="3F88255F" w14:textId="77777777" w:rsidR="003B3B22" w:rsidRDefault="003B3B22" w:rsidP="003B3B22">
      <w:pPr>
        <w:pStyle w:val="Textoindependiente"/>
      </w:pPr>
    </w:p>
    <w:p w14:paraId="79C4755B" w14:textId="77777777" w:rsidR="003B3B22" w:rsidRDefault="003B3B22" w:rsidP="003B3B22">
      <w:pPr>
        <w:pStyle w:val="Textoindependiente"/>
      </w:pPr>
    </w:p>
    <w:p w14:paraId="569FE6A5" w14:textId="77777777" w:rsidR="003B3B22" w:rsidRPr="003B3B22" w:rsidRDefault="003B3B22" w:rsidP="003B3B22">
      <w:pPr>
        <w:pStyle w:val="Textoindependiente"/>
      </w:pPr>
    </w:p>
    <w:p w14:paraId="40A0DF84" w14:textId="26E7A6A5" w:rsidR="00CE1E92" w:rsidRPr="006C5441" w:rsidRDefault="008E4AEB" w:rsidP="00EE01C1">
      <w:pPr>
        <w:pStyle w:val="Textoindependiente"/>
        <w:spacing w:line="360" w:lineRule="auto"/>
        <w:jc w:val="center"/>
        <w:rPr>
          <w:b/>
          <w:bCs/>
        </w:rPr>
      </w:pPr>
      <w:r w:rsidRPr="008E4AEB">
        <w:rPr>
          <w:b/>
          <w:bCs/>
        </w:rPr>
        <w:lastRenderedPageBreak/>
        <w:t>Fig</w:t>
      </w:r>
      <w:r w:rsidR="00341854">
        <w:rPr>
          <w:b/>
          <w:bCs/>
        </w:rPr>
        <w:t>ure</w:t>
      </w:r>
      <w:r w:rsidRPr="008E4AEB">
        <w:rPr>
          <w:b/>
          <w:bCs/>
        </w:rPr>
        <w:t xml:space="preserve"> S1</w:t>
      </w:r>
      <w:r w:rsidR="00C60725">
        <w:rPr>
          <w:b/>
          <w:bCs/>
        </w:rPr>
        <w:t xml:space="preserve">. </w:t>
      </w:r>
      <w:r w:rsidR="00BE34E1">
        <w:rPr>
          <w:b/>
          <w:bCs/>
        </w:rPr>
        <w:t>Travels between Madrid and Guadalajara during 2020.</w:t>
      </w:r>
      <w:r>
        <w:br/>
      </w:r>
      <w:r w:rsidR="00692FD4">
        <w:rPr>
          <w:noProof/>
          <w:lang w:val="es-ES" w:eastAsia="es-ES"/>
        </w:rPr>
        <w:drawing>
          <wp:inline distT="0" distB="0" distL="0" distR="0" wp14:anchorId="4C206324" wp14:editId="193CADD4">
            <wp:extent cx="5600700" cy="19335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0700" cy="1933575"/>
                    </a:xfrm>
                    <a:prstGeom prst="rect">
                      <a:avLst/>
                    </a:prstGeom>
                    <a:noFill/>
                    <a:ln>
                      <a:noFill/>
                    </a:ln>
                  </pic:spPr>
                </pic:pic>
              </a:graphicData>
            </a:graphic>
          </wp:inline>
        </w:drawing>
      </w:r>
      <w:r w:rsidR="00C60725">
        <w:rPr>
          <w:b/>
          <w:bCs/>
        </w:rPr>
        <w:br/>
      </w:r>
      <w:r w:rsidR="00C60725">
        <w:rPr>
          <w:b/>
          <w:bCs/>
          <w:noProof/>
          <w:lang w:val="es-ES" w:eastAsia="es-ES"/>
        </w:rPr>
        <w:drawing>
          <wp:inline distT="0" distB="0" distL="0" distR="0" wp14:anchorId="4E33AD49" wp14:editId="742EED10">
            <wp:extent cx="5600700" cy="1933575"/>
            <wp:effectExtent l="0" t="0" r="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0700" cy="1933575"/>
                    </a:xfrm>
                    <a:prstGeom prst="rect">
                      <a:avLst/>
                    </a:prstGeom>
                    <a:noFill/>
                    <a:ln>
                      <a:noFill/>
                    </a:ln>
                  </pic:spPr>
                </pic:pic>
              </a:graphicData>
            </a:graphic>
          </wp:inline>
        </w:drawing>
      </w:r>
    </w:p>
    <w:p w14:paraId="2DA43A62" w14:textId="40508814" w:rsidR="0042006F" w:rsidRDefault="004C3AAA" w:rsidP="00C40B8C">
      <w:pPr>
        <w:pStyle w:val="Textoindependiente"/>
        <w:spacing w:line="360" w:lineRule="auto"/>
        <w:jc w:val="both"/>
        <w:rPr>
          <w:rFonts w:eastAsiaTheme="minorEastAsia"/>
        </w:rPr>
      </w:pPr>
      <w:r>
        <w:t xml:space="preserve">So, </w:t>
      </w:r>
      <w:r w:rsidR="00B732CB">
        <w:t>we can describe multiple sources of mobility variance: national or higher order (</w:t>
      </w:r>
      <w:r w:rsidR="002B7564">
        <w:t>travel restrictions in place), seasonal (summer time) and weekday</w:t>
      </w:r>
      <w:r w:rsidR="001E1A55">
        <w:t>-</w:t>
      </w:r>
      <w:r w:rsidR="002B7564">
        <w:t>related</w:t>
      </w:r>
      <w:r w:rsidR="00F213DF">
        <w:t xml:space="preserve"> variation (weekends). </w:t>
      </w:r>
      <w:r w:rsidR="0087463D">
        <w:t xml:space="preserve">For the two provinces, sharing these fluxes of travelers must have </w:t>
      </w:r>
      <w:r w:rsidR="00AE4C9D">
        <w:t>different implications given their enormous differences</w:t>
      </w:r>
      <w:r w:rsidR="00415261">
        <w:t xml:space="preserve">. </w:t>
      </w:r>
      <w:r w:rsidR="00C40B8C">
        <w:t xml:space="preserve">To further </w:t>
      </w:r>
      <w:r w:rsidR="00AB1101">
        <w:t xml:space="preserve">understand them, we convert the fluxes </w:t>
      </w:r>
      <m:oMath>
        <m:sSub>
          <m:sSubPr>
            <m:ctrlPr>
              <w:rPr>
                <w:rFonts w:ascii="Cambria Math" w:hAnsi="Cambria Math"/>
              </w:rPr>
            </m:ctrlPr>
          </m:sSubPr>
          <m:e>
            <m:r>
              <w:rPr>
                <w:rFonts w:ascii="Cambria Math" w:hAnsi="Cambria Math"/>
              </w:rPr>
              <m:t>F</m:t>
            </m:r>
          </m:e>
          <m:sub>
            <m:r>
              <w:rPr>
                <w:rFonts w:ascii="Cambria Math" w:hAnsi="Cambria Math"/>
              </w:rPr>
              <m:t>nm</m:t>
            </m:r>
          </m:sub>
        </m:sSub>
      </m:oMath>
      <w:r w:rsidR="00AB1101">
        <w:rPr>
          <w:rFonts w:eastAsiaTheme="minorEastAsia"/>
        </w:rPr>
        <w:t xml:space="preserve"> to the </w:t>
      </w:r>
      <w:r w:rsidR="003945A9">
        <w:rPr>
          <w:rFonts w:eastAsiaTheme="minorEastAsia"/>
        </w:rPr>
        <w:t xml:space="preserve">percentage those travelers represent among all people leaving the provinces, </w:t>
      </w:r>
      <m:oMath>
        <m:sSub>
          <m:sSubPr>
            <m:ctrlPr>
              <w:rPr>
                <w:rFonts w:ascii="Cambria Math" w:hAnsi="Cambria Math"/>
              </w:rPr>
            </m:ctrlPr>
          </m:sSubPr>
          <m:e>
            <m:r>
              <w:rPr>
                <w:rFonts w:ascii="Cambria Math" w:hAnsi="Cambria Math"/>
              </w:rPr>
              <m:t>P</m:t>
            </m:r>
          </m:e>
          <m:sub>
            <m:r>
              <w:rPr>
                <w:rFonts w:ascii="Cambria Math" w:hAnsi="Cambria Math"/>
              </w:rPr>
              <m:t>nm</m:t>
            </m:r>
          </m:sub>
        </m:sSub>
      </m:oMath>
      <w:r w:rsidR="00FC378A">
        <w:rPr>
          <w:rFonts w:eastAsiaTheme="minorEastAsia"/>
        </w:rPr>
        <w:t>:</w:t>
      </w:r>
    </w:p>
    <w:p w14:paraId="1519985C" w14:textId="420F672E" w:rsidR="00FC378A" w:rsidRPr="00E70ABC" w:rsidRDefault="00AD4B47" w:rsidP="00C40B8C">
      <w:pPr>
        <w:pStyle w:val="Textoindependiente"/>
        <w:spacing w:line="360" w:lineRule="auto"/>
        <w:jc w:val="both"/>
      </w:pPr>
      <m:oMathPara>
        <m:oMathParaPr>
          <m:jc m:val="center"/>
        </m:oMathParaPr>
        <m:oMath>
          <m:sSub>
            <m:sSubPr>
              <m:ctrlPr>
                <w:rPr>
                  <w:rFonts w:ascii="Cambria Math" w:hAnsi="Cambria Math"/>
                  <w:b/>
                  <w:bCs/>
                  <w:sz w:val="22"/>
                  <w:szCs w:val="22"/>
                </w:rPr>
              </m:ctrlPr>
            </m:sSubPr>
            <m:e>
              <m:r>
                <m:rPr>
                  <m:sty m:val="bi"/>
                </m:rPr>
                <w:rPr>
                  <w:rFonts w:ascii="Cambria Math" w:hAnsi="Cambria Math"/>
                  <w:sz w:val="22"/>
                  <w:szCs w:val="22"/>
                </w:rPr>
                <m:t>P</m:t>
              </m:r>
            </m:e>
            <m:sub>
              <m:r>
                <m:rPr>
                  <m:sty m:val="bi"/>
                </m:rPr>
                <w:rPr>
                  <w:rFonts w:ascii="Cambria Math" w:hAnsi="Cambria Math"/>
                  <w:sz w:val="22"/>
                  <w:szCs w:val="22"/>
                </w:rPr>
                <m:t>nm</m:t>
              </m:r>
            </m:sub>
          </m:sSub>
          <m:r>
            <w:rPr>
              <w:rFonts w:ascii="Cambria Math" w:hAnsi="Cambria Math"/>
              <w:sz w:val="22"/>
              <w:szCs w:val="22"/>
            </w:rPr>
            <m:t xml:space="preserve">= </m:t>
          </m:r>
          <m:f>
            <m:fPr>
              <m:ctrlPr>
                <w:rPr>
                  <w:rFonts w:ascii="Cambria Math" w:hAnsi="Cambria Math"/>
                  <w:i/>
                  <w:sz w:val="22"/>
                  <w:szCs w:val="22"/>
                </w:rPr>
              </m:ctrlPr>
            </m:fPr>
            <m:num>
              <m:r>
                <w:rPr>
                  <w:rFonts w:ascii="Cambria Math" w:hAnsi="Cambria Math"/>
                  <w:sz w:val="22"/>
                  <w:szCs w:val="22"/>
                </w:rPr>
                <m:t>Total travelers moving from m to n</m:t>
              </m:r>
            </m:num>
            <m:den>
              <m:r>
                <w:rPr>
                  <w:rFonts w:ascii="Cambria Math" w:hAnsi="Cambria Math"/>
                  <w:sz w:val="22"/>
                  <w:szCs w:val="22"/>
                </w:rPr>
                <m:t>All people leaving m to any other province</m:t>
              </m:r>
            </m:den>
          </m:f>
          <m:r>
            <w:rPr>
              <w:rFonts w:ascii="Cambria Math" w:eastAsiaTheme="minorEastAsia" w:hAnsi="Cambria Math"/>
              <w:sz w:val="22"/>
              <w:szCs w:val="22"/>
            </w:rPr>
            <m:t>.</m:t>
          </m:r>
        </m:oMath>
      </m:oMathPara>
    </w:p>
    <w:p w14:paraId="22504078" w14:textId="1367A7B9" w:rsidR="0089144B" w:rsidRDefault="00345F1E" w:rsidP="00BF040B">
      <w:pPr>
        <w:pStyle w:val="Textoindependiente"/>
        <w:spacing w:line="360" w:lineRule="auto"/>
        <w:jc w:val="both"/>
      </w:pPr>
      <w:r>
        <w:t xml:space="preserve">Thus, </w:t>
      </w:r>
      <m:oMath>
        <m:sSub>
          <m:sSubPr>
            <m:ctrlPr>
              <w:rPr>
                <w:rFonts w:ascii="Cambria Math" w:hAnsi="Cambria Math"/>
              </w:rPr>
            </m:ctrlPr>
          </m:sSubPr>
          <m:e>
            <m:r>
              <w:rPr>
                <w:rFonts w:ascii="Cambria Math" w:hAnsi="Cambria Math"/>
              </w:rPr>
              <m:t>P</m:t>
            </m:r>
          </m:e>
          <m:sub>
            <m:r>
              <w:rPr>
                <w:rFonts w:ascii="Cambria Math" w:hAnsi="Cambria Math"/>
              </w:rPr>
              <m:t>nm</m:t>
            </m:r>
          </m:sub>
        </m:sSub>
      </m:oMath>
      <w:r>
        <w:rPr>
          <w:rFonts w:eastAsiaTheme="minorEastAsia"/>
        </w:rPr>
        <w:t xml:space="preserve"> represents the weight that a given flux of travelers </w:t>
      </w:r>
      <w:r w:rsidR="005E2267">
        <w:rPr>
          <w:rFonts w:eastAsiaTheme="minorEastAsia"/>
        </w:rPr>
        <w:t>has for a province</w:t>
      </w:r>
      <w:r w:rsidR="001E1A55">
        <w:rPr>
          <w:rFonts w:eastAsiaTheme="minorEastAsia"/>
        </w:rPr>
        <w:t>, a</w:t>
      </w:r>
      <w:r w:rsidR="005E2267">
        <w:rPr>
          <w:rFonts w:eastAsiaTheme="minorEastAsia"/>
        </w:rPr>
        <w:t xml:space="preserve"> measure of </w:t>
      </w:r>
      <w:r w:rsidR="00716B10">
        <w:rPr>
          <w:rFonts w:eastAsiaTheme="minorEastAsia"/>
        </w:rPr>
        <w:t xml:space="preserve">the </w:t>
      </w:r>
      <w:r w:rsidR="005E2267">
        <w:rPr>
          <w:rFonts w:eastAsiaTheme="minorEastAsia"/>
        </w:rPr>
        <w:t>relative importance</w:t>
      </w:r>
      <w:r w:rsidR="00716B10">
        <w:rPr>
          <w:rFonts w:eastAsiaTheme="minorEastAsia"/>
        </w:rPr>
        <w:t xml:space="preserve"> </w:t>
      </w:r>
      <w:r w:rsidR="00BF040B">
        <w:rPr>
          <w:rFonts w:eastAsiaTheme="minorEastAsia"/>
        </w:rPr>
        <w:t xml:space="preserve">of </w:t>
      </w:r>
      <w:r w:rsidR="001E1A55">
        <w:rPr>
          <w:rFonts w:eastAsiaTheme="minorEastAsia"/>
        </w:rPr>
        <w:t xml:space="preserve">the connection between </w:t>
      </w:r>
      <w:r w:rsidR="00BF040B">
        <w:rPr>
          <w:rFonts w:eastAsiaTheme="minorEastAsia"/>
        </w:rPr>
        <w:t>a pair of province</w:t>
      </w:r>
      <w:r w:rsidR="001E1A55">
        <w:rPr>
          <w:rFonts w:eastAsiaTheme="minorEastAsia"/>
        </w:rPr>
        <w:t>s</w:t>
      </w:r>
      <w:r w:rsidR="00BF040B">
        <w:rPr>
          <w:rFonts w:eastAsiaTheme="minorEastAsia"/>
        </w:rPr>
        <w:t xml:space="preserve"> in terms of mobility</w:t>
      </w:r>
      <w:r w:rsidR="005E2267">
        <w:rPr>
          <w:rFonts w:eastAsiaTheme="minorEastAsia"/>
        </w:rPr>
        <w:t xml:space="preserve">. </w:t>
      </w:r>
      <w:r w:rsidR="00BF040B">
        <w:rPr>
          <w:rFonts w:eastAsiaTheme="minorEastAsia"/>
        </w:rPr>
        <w:t>When</w:t>
      </w:r>
      <w:r w:rsidR="007B7143">
        <w:t xml:space="preserve"> turned into the percentages </w:t>
      </w:r>
      <m:oMath>
        <m:sSub>
          <m:sSubPr>
            <m:ctrlPr>
              <w:rPr>
                <w:rFonts w:ascii="Cambria Math" w:hAnsi="Cambria Math"/>
              </w:rPr>
            </m:ctrlPr>
          </m:sSubPr>
          <m:e>
            <m:r>
              <w:rPr>
                <w:rFonts w:ascii="Cambria Math" w:hAnsi="Cambria Math"/>
              </w:rPr>
              <m:t>P</m:t>
            </m:r>
          </m:e>
          <m:sub>
            <m:r>
              <w:rPr>
                <w:rFonts w:ascii="Cambria Math" w:hAnsi="Cambria Math"/>
              </w:rPr>
              <m:t>nm</m:t>
            </m:r>
          </m:sub>
        </m:sSub>
      </m:oMath>
      <w:r w:rsidR="007B7143">
        <w:t xml:space="preserve">, overlapping fluxes </w:t>
      </w:r>
      <m:oMath>
        <m:sSub>
          <m:sSubPr>
            <m:ctrlPr>
              <w:rPr>
                <w:rFonts w:ascii="Cambria Math" w:hAnsi="Cambria Math"/>
              </w:rPr>
            </m:ctrlPr>
          </m:sSubPr>
          <m:e>
            <m:r>
              <w:rPr>
                <w:rFonts w:ascii="Cambria Math" w:hAnsi="Cambria Math"/>
              </w:rPr>
              <m:t>F</m:t>
            </m:r>
          </m:e>
          <m:sub>
            <m:r>
              <w:rPr>
                <w:rFonts w:ascii="Cambria Math" w:hAnsi="Cambria Math"/>
              </w:rPr>
              <m:t>nm</m:t>
            </m:r>
          </m:sub>
        </m:sSub>
      </m:oMath>
      <w:r w:rsidR="007B7143">
        <w:t xml:space="preserve"> between Madrid and Guadalajara now acquire a different magnitude and a new significance </w:t>
      </w:r>
      <w:r w:rsidR="0089144B">
        <w:t>(fig S2)</w:t>
      </w:r>
    </w:p>
    <w:p w14:paraId="6BAFE50D" w14:textId="1F3B71B1" w:rsidR="002259D6" w:rsidRDefault="00341854" w:rsidP="00EE01C1">
      <w:pPr>
        <w:pStyle w:val="Textoindependiente"/>
        <w:spacing w:line="360" w:lineRule="auto"/>
        <w:jc w:val="center"/>
      </w:pPr>
      <w:r w:rsidRPr="002259D6">
        <w:rPr>
          <w:b/>
          <w:bCs/>
        </w:rPr>
        <w:lastRenderedPageBreak/>
        <w:t>Figure S2</w:t>
      </w:r>
      <w:r w:rsidR="00DB55AD">
        <w:rPr>
          <w:b/>
          <w:bCs/>
        </w:rPr>
        <w:t xml:space="preserve">. </w:t>
      </w:r>
      <w:r w:rsidR="00F00D7F">
        <w:rPr>
          <w:b/>
          <w:bCs/>
        </w:rPr>
        <w:t>Percentage of daily</w:t>
      </w:r>
      <w:r w:rsidR="00773579">
        <w:rPr>
          <w:b/>
          <w:bCs/>
        </w:rPr>
        <w:t>/weekly</w:t>
      </w:r>
      <w:r w:rsidR="00F00D7F">
        <w:rPr>
          <w:b/>
          <w:bCs/>
        </w:rPr>
        <w:t xml:space="preserve"> travelers </w:t>
      </w:r>
      <w:r w:rsidR="00773579">
        <w:rPr>
          <w:b/>
          <w:bCs/>
        </w:rPr>
        <w:t xml:space="preserve">between Madrid and Guadalajara </w:t>
      </w:r>
      <w:r>
        <w:br/>
      </w:r>
      <w:r w:rsidR="00DB55AD">
        <w:rPr>
          <w:noProof/>
          <w:lang w:val="es-ES" w:eastAsia="es-ES"/>
        </w:rPr>
        <w:drawing>
          <wp:inline distT="0" distB="0" distL="0" distR="0" wp14:anchorId="50B9E5AA" wp14:editId="44255517">
            <wp:extent cx="5600700" cy="1933575"/>
            <wp:effectExtent l="0" t="0" r="0" b="952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0700" cy="1933575"/>
                    </a:xfrm>
                    <a:prstGeom prst="rect">
                      <a:avLst/>
                    </a:prstGeom>
                    <a:noFill/>
                    <a:ln>
                      <a:noFill/>
                    </a:ln>
                  </pic:spPr>
                </pic:pic>
              </a:graphicData>
            </a:graphic>
          </wp:inline>
        </w:drawing>
      </w:r>
      <w:r w:rsidR="00DB55AD">
        <w:rPr>
          <w:b/>
          <w:bCs/>
        </w:rPr>
        <w:br/>
      </w:r>
      <w:r w:rsidR="00DB55AD">
        <w:rPr>
          <w:b/>
          <w:bCs/>
          <w:noProof/>
          <w:lang w:val="es-ES" w:eastAsia="es-ES"/>
        </w:rPr>
        <w:drawing>
          <wp:inline distT="0" distB="0" distL="0" distR="0" wp14:anchorId="54AF0C7A" wp14:editId="6A507CA4">
            <wp:extent cx="5600700" cy="1933575"/>
            <wp:effectExtent l="0" t="0" r="0"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00700" cy="1933575"/>
                    </a:xfrm>
                    <a:prstGeom prst="rect">
                      <a:avLst/>
                    </a:prstGeom>
                    <a:noFill/>
                    <a:ln>
                      <a:noFill/>
                    </a:ln>
                  </pic:spPr>
                </pic:pic>
              </a:graphicData>
            </a:graphic>
          </wp:inline>
        </w:drawing>
      </w:r>
    </w:p>
    <w:p w14:paraId="64BAEC23" w14:textId="336DC046" w:rsidR="00703E08" w:rsidRDefault="0089144B" w:rsidP="005439B6">
      <w:pPr>
        <w:pStyle w:val="Textoindependiente"/>
        <w:spacing w:line="360" w:lineRule="auto"/>
        <w:jc w:val="both"/>
      </w:pPr>
      <w:r>
        <w:t>Initially overlapping fluxes</w:t>
      </w:r>
      <w:r w:rsidR="00F5769C">
        <w:t xml:space="preserve"> now </w:t>
      </w:r>
      <w:r w:rsidR="00287AF3">
        <w:t xml:space="preserve">represent </w:t>
      </w:r>
      <w:r w:rsidR="00277A7B">
        <w:t xml:space="preserve">a </w:t>
      </w:r>
      <w:r w:rsidR="00287AF3">
        <w:t xml:space="preserve">very different </w:t>
      </w:r>
      <w:r w:rsidR="00BE2125">
        <w:t>share of each province</w:t>
      </w:r>
      <w:r w:rsidR="001E1A55">
        <w:t>’s</w:t>
      </w:r>
      <w:r w:rsidR="00BE2125">
        <w:t xml:space="preserve"> </w:t>
      </w:r>
      <w:r w:rsidR="00277A7B">
        <w:t xml:space="preserve">travels. While travels from Guadalajara represent </w:t>
      </w:r>
      <w:r w:rsidR="00D075FB">
        <w:t>almost a</w:t>
      </w:r>
      <w:r w:rsidR="001E1A55">
        <w:t>n</w:t>
      </w:r>
      <w:r w:rsidR="00D075FB">
        <w:t xml:space="preserve"> 80% of their total travels, for Madrid this is only a bare 2</w:t>
      </w:r>
      <w:r w:rsidR="00876D45">
        <w:t>3%</w:t>
      </w:r>
      <w:r w:rsidR="00A877D8">
        <w:t xml:space="preserve">. </w:t>
      </w:r>
      <w:r w:rsidR="001E1A55">
        <w:t>This shows</w:t>
      </w:r>
      <w:r w:rsidR="007B7143">
        <w:t xml:space="preserve"> how very similar fluxes </w:t>
      </w:r>
      <m:oMath>
        <m:r>
          <w:rPr>
            <w:rFonts w:ascii="Cambria Math" w:hAnsi="Cambria Math"/>
          </w:rPr>
          <m:t>F</m:t>
        </m:r>
      </m:oMath>
      <w:r w:rsidR="007B7143">
        <w:t xml:space="preserve"> </w:t>
      </w:r>
      <w:r w:rsidR="007B7143" w:rsidRPr="00A877D8">
        <w:rPr>
          <w:shd w:val="clear" w:color="auto" w:fill="FFFFFF" w:themeFill="background1"/>
        </w:rPr>
        <w:t xml:space="preserve">do </w:t>
      </w:r>
      <w:r w:rsidR="007B7143">
        <w:t xml:space="preserve">not translate to similar percentages of fluxes </w:t>
      </w:r>
      <m:oMath>
        <m:r>
          <w:rPr>
            <w:rFonts w:ascii="Cambria Math" w:hAnsi="Cambria Math"/>
          </w:rPr>
          <m:t>P</m:t>
        </m:r>
      </m:oMath>
      <w:r w:rsidR="007B7143">
        <w:t>, so:</w:t>
      </w:r>
    </w:p>
    <w:p w14:paraId="64BAEC24" w14:textId="77777777" w:rsidR="00703E08" w:rsidRDefault="00AD4B47" w:rsidP="005439B6">
      <w:pPr>
        <w:pStyle w:val="Textoindependiente"/>
        <w:spacing w:line="360" w:lineRule="auto"/>
      </w:pPr>
      <m:oMathPara>
        <m:oMathParaPr>
          <m:jc m:val="center"/>
        </m:oMathParaPr>
        <m:oMath>
          <m:sSub>
            <m:sSubPr>
              <m:ctrlPr>
                <w:rPr>
                  <w:rFonts w:ascii="Cambria Math" w:hAnsi="Cambria Math"/>
                </w:rPr>
              </m:ctrlPr>
            </m:sSubPr>
            <m:e>
              <m:r>
                <w:rPr>
                  <w:rFonts w:ascii="Cambria Math" w:hAnsi="Cambria Math"/>
                </w:rPr>
                <m:t>F</m:t>
              </m:r>
            </m:e>
            <m:sub>
              <m:r>
                <w:rPr>
                  <w:rFonts w:ascii="Cambria Math" w:hAnsi="Cambria Math"/>
                </w:rPr>
                <m:t>nm</m:t>
              </m:r>
            </m:sub>
          </m:sSub>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mn</m:t>
              </m:r>
            </m:sub>
          </m:sSub>
        </m:oMath>
      </m:oMathPara>
    </w:p>
    <w:p w14:paraId="64BAEC25" w14:textId="77777777" w:rsidR="00703E08" w:rsidRDefault="007B7143" w:rsidP="005439B6">
      <w:pPr>
        <w:pStyle w:val="FirstParagraph"/>
        <w:spacing w:line="360" w:lineRule="auto"/>
      </w:pPr>
      <w:r>
        <w:t>but,</w:t>
      </w:r>
    </w:p>
    <w:p w14:paraId="64BAEC26" w14:textId="67EFD378" w:rsidR="00703E08" w:rsidRDefault="00AD4B47" w:rsidP="005439B6">
      <w:pPr>
        <w:pStyle w:val="Textoindependiente"/>
        <w:spacing w:line="360" w:lineRule="auto"/>
      </w:pPr>
      <m:oMathPara>
        <m:oMathParaPr>
          <m:jc m:val="center"/>
        </m:oMathParaPr>
        <m:oMath>
          <m:sSub>
            <m:sSubPr>
              <m:ctrlPr>
                <w:rPr>
                  <w:rFonts w:ascii="Cambria Math" w:hAnsi="Cambria Math"/>
                </w:rPr>
              </m:ctrlPr>
            </m:sSubPr>
            <m:e>
              <m:r>
                <w:rPr>
                  <w:rFonts w:ascii="Cambria Math" w:hAnsi="Cambria Math"/>
                </w:rPr>
                <m:t>P</m:t>
              </m:r>
            </m:e>
            <m:sub>
              <m:r>
                <w:rPr>
                  <w:rFonts w:ascii="Cambria Math" w:hAnsi="Cambria Math"/>
                </w:rPr>
                <m:t>nm</m:t>
              </m:r>
            </m:sub>
          </m:sSub>
          <m:r>
            <m:rPr>
              <m:sty m:val="p"/>
            </m:rPr>
            <w:rPr>
              <w:rFonts w:ascii="Cambria Math" w:hAnsi="Cambria Math"/>
            </w:rPr>
            <m:t>≠</m:t>
          </m:r>
          <m:sSub>
            <m:sSubPr>
              <m:ctrlPr>
                <w:rPr>
                  <w:rFonts w:ascii="Cambria Math" w:hAnsi="Cambria Math"/>
                </w:rPr>
              </m:ctrlPr>
            </m:sSubPr>
            <m:e>
              <m:r>
                <w:rPr>
                  <w:rFonts w:ascii="Cambria Math" w:hAnsi="Cambria Math"/>
                </w:rPr>
                <m:t>P</m:t>
              </m:r>
            </m:e>
            <m:sub>
              <m:r>
                <w:rPr>
                  <w:rFonts w:ascii="Cambria Math" w:hAnsi="Cambria Math"/>
                </w:rPr>
                <m:t>mn</m:t>
              </m:r>
            </m:sub>
          </m:sSub>
          <m:r>
            <w:rPr>
              <w:rFonts w:ascii="Cambria Math" w:eastAsiaTheme="minorEastAsia" w:hAnsi="Cambria Math"/>
            </w:rPr>
            <m:t>.</m:t>
          </m:r>
        </m:oMath>
      </m:oMathPara>
    </w:p>
    <w:p w14:paraId="64BAEC27" w14:textId="744F7D27" w:rsidR="00703E08" w:rsidRDefault="007B7143" w:rsidP="005439B6">
      <w:pPr>
        <w:pStyle w:val="FirstParagraph"/>
        <w:spacing w:line="360" w:lineRule="auto"/>
        <w:jc w:val="both"/>
      </w:pPr>
      <w:r>
        <w:t>This has strong implications in transmission phenomena: symmetrical fluxes (individual travelers) now imply asymmetrical weights and unequal transmission probabilities. The “</w:t>
      </w:r>
      <w:r w:rsidRPr="00AA1852">
        <w:t xml:space="preserve">cost” of traveling from one province to the other differs and a given spreading event has </w:t>
      </w:r>
      <w:r w:rsidR="002D0F70" w:rsidRPr="00AA1852">
        <w:t>much higher chances</w:t>
      </w:r>
      <w:r w:rsidRPr="00AA1852">
        <w:t xml:space="preserve"> to move from the small province of </w:t>
      </w:r>
      <w:r w:rsidRPr="00AA1852">
        <w:lastRenderedPageBreak/>
        <w:t>Guadalajara to Madrid than vice-vers</w:t>
      </w:r>
      <w:r w:rsidR="002D0F70" w:rsidRPr="00AA1852">
        <w:t>a</w:t>
      </w:r>
      <w:r w:rsidRPr="00AA1852">
        <w:t xml:space="preserve">. So, for every </w:t>
      </w:r>
      <w:r w:rsidRPr="00922A0F">
        <w:t xml:space="preserve">possible </w:t>
      </w:r>
      <w:r w:rsidRPr="007D1402">
        <w:t xml:space="preserve">emanating </w:t>
      </w:r>
      <w:r w:rsidRPr="00AA1852">
        <w:t xml:space="preserve">province, the set of its connections expressed as the percentages </w:t>
      </w:r>
      <m:oMath>
        <m:r>
          <w:rPr>
            <w:rFonts w:ascii="Cambria Math" w:hAnsi="Cambria Math"/>
          </w:rPr>
          <m:t>P</m:t>
        </m:r>
      </m:oMath>
      <w:r w:rsidRPr="00AA1852">
        <w:t xml:space="preserve"> represents the first approximation to ou</w:t>
      </w:r>
      <w:r w:rsidR="002D0F70" w:rsidRPr="00AA1852">
        <w:t>r</w:t>
      </w:r>
      <w:r w:rsidRPr="00AA1852">
        <w:t xml:space="preserve"> MM. If we take a look to Madrid</w:t>
      </w:r>
      <w:r w:rsidR="002D0F70" w:rsidRPr="00AA1852">
        <w:t>’s</w:t>
      </w:r>
      <w:r w:rsidRPr="00AA1852">
        <w:t xml:space="preserve"> and Guadalajara´s (fig S</w:t>
      </w:r>
      <w:r w:rsidR="00B37201">
        <w:t>3</w:t>
      </w:r>
      <w:r w:rsidRPr="00AA1852">
        <w:t>) distribution</w:t>
      </w:r>
      <w:r w:rsidR="002D0F70" w:rsidRPr="00AA1852">
        <w:t>s</w:t>
      </w:r>
      <w:r w:rsidRPr="00AA1852">
        <w:t xml:space="preserve"> of all </w:t>
      </w:r>
      <m:oMath>
        <m:r>
          <w:rPr>
            <w:rFonts w:ascii="Cambria Math" w:hAnsi="Cambria Math"/>
          </w:rPr>
          <m:t>P</m:t>
        </m:r>
      </m:oMath>
      <w:r w:rsidRPr="00AA1852">
        <w:t xml:space="preserve"> emanating from each one</w:t>
      </w:r>
      <w:r w:rsidR="00B37201">
        <w:t>:</w:t>
      </w:r>
    </w:p>
    <w:p w14:paraId="3D70790F" w14:textId="33519987" w:rsidR="00FB36D3" w:rsidRPr="00C17BD6" w:rsidRDefault="00FB36D3" w:rsidP="00EE01C1">
      <w:pPr>
        <w:pStyle w:val="Textoindependiente"/>
        <w:jc w:val="center"/>
        <w:rPr>
          <w:b/>
          <w:bCs/>
        </w:rPr>
      </w:pPr>
      <w:r w:rsidRPr="002943E7">
        <w:rPr>
          <w:b/>
          <w:bCs/>
        </w:rPr>
        <w:t>Figure S3</w:t>
      </w:r>
      <w:r w:rsidR="008B4E1B">
        <w:rPr>
          <w:b/>
          <w:bCs/>
        </w:rPr>
        <w:t xml:space="preserve">. </w:t>
      </w:r>
      <w:r w:rsidR="008B4E1B" w:rsidRPr="008B4E1B">
        <w:rPr>
          <w:b/>
          <w:bCs/>
        </w:rPr>
        <w:t xml:space="preserve">Weekly percentage of travels from Madrid (A) and Guadalajara (B) by </w:t>
      </w:r>
      <w:proofErr w:type="spellStart"/>
      <w:r w:rsidR="008B4E1B" w:rsidRPr="008B4E1B">
        <w:rPr>
          <w:b/>
          <w:bCs/>
        </w:rPr>
        <w:t>epiweek</w:t>
      </w:r>
      <w:proofErr w:type="spellEnd"/>
      <w:r w:rsidR="008B4E1B" w:rsidRPr="008B4E1B">
        <w:rPr>
          <w:b/>
          <w:bCs/>
        </w:rPr>
        <w:t>, 2020</w:t>
      </w:r>
      <w:r>
        <w:br/>
      </w:r>
      <w:r w:rsidR="00356501">
        <w:rPr>
          <w:noProof/>
          <w:lang w:val="es-ES" w:eastAsia="es-ES"/>
        </w:rPr>
        <w:drawing>
          <wp:inline distT="0" distB="0" distL="0" distR="0" wp14:anchorId="4C4C7D8D" wp14:editId="1E977433">
            <wp:extent cx="5600700" cy="19335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00700" cy="1933575"/>
                    </a:xfrm>
                    <a:prstGeom prst="rect">
                      <a:avLst/>
                    </a:prstGeom>
                    <a:noFill/>
                    <a:ln>
                      <a:noFill/>
                    </a:ln>
                  </pic:spPr>
                </pic:pic>
              </a:graphicData>
            </a:graphic>
          </wp:inline>
        </w:drawing>
      </w:r>
    </w:p>
    <w:p w14:paraId="64BAEC28" w14:textId="729D4234" w:rsidR="00703E08" w:rsidRDefault="007B7143" w:rsidP="005439B6">
      <w:pPr>
        <w:pStyle w:val="Textoindependiente"/>
        <w:spacing w:line="360" w:lineRule="auto"/>
        <w:jc w:val="both"/>
      </w:pPr>
      <w:r>
        <w:t xml:space="preserve">Guadalajara sends most of its travelers (83%) </w:t>
      </w:r>
      <w:r w:rsidR="002D06F9">
        <w:t>to only one place</w:t>
      </w:r>
      <w:r w:rsidR="00CF0350">
        <w:t>, Madrid.</w:t>
      </w:r>
      <w:r>
        <w:t xml:space="preserve"> Madrid only sends back its 2</w:t>
      </w:r>
      <w:r w:rsidR="00CF0350">
        <w:t>3</w:t>
      </w:r>
      <w:r>
        <w:t>%, and another 45% to a different</w:t>
      </w:r>
      <w:r w:rsidR="00C76680">
        <w:t xml:space="preserve"> neighboring</w:t>
      </w:r>
      <w:r>
        <w:t xml:space="preserve"> province, Toledo. </w:t>
      </w:r>
      <w:r w:rsidR="00027C20">
        <w:t xml:space="preserve">One and two main connections, respectively. </w:t>
      </w:r>
      <w:r>
        <w:t xml:space="preserve">The rest of connections from both </w:t>
      </w:r>
      <w:r w:rsidRPr="005F0274">
        <w:t xml:space="preserve">provinces </w:t>
      </w:r>
      <w:r w:rsidR="0038116D">
        <w:t>represent a multiplicity of very low-value connections that</w:t>
      </w:r>
      <w:r w:rsidR="006C2986" w:rsidRPr="005F0274">
        <w:t>, in practice, have</w:t>
      </w:r>
      <w:r w:rsidRPr="005F0274">
        <w:t xml:space="preserve"> little to no effect on </w:t>
      </w:r>
      <w:r w:rsidR="0038116D">
        <w:t xml:space="preserve">any </w:t>
      </w:r>
      <w:r w:rsidR="00373B95">
        <w:t xml:space="preserve">hypothetical </w:t>
      </w:r>
      <w:r w:rsidRPr="005F0274">
        <w:t>transmission</w:t>
      </w:r>
      <w:r w:rsidR="0038116D">
        <w:t xml:space="preserve"> phenomena</w:t>
      </w:r>
      <w:r w:rsidRPr="005F0274">
        <w:t>.</w:t>
      </w:r>
    </w:p>
    <w:p w14:paraId="64BAEC29" w14:textId="3EDCB3F9" w:rsidR="00703E08" w:rsidRDefault="007B7143" w:rsidP="005439B6">
      <w:pPr>
        <w:pStyle w:val="Textoindependiente"/>
        <w:spacing w:line="360" w:lineRule="auto"/>
        <w:jc w:val="both"/>
      </w:pPr>
      <w:r>
        <w:t xml:space="preserve">From </w:t>
      </w:r>
      <w:r w:rsidR="00105A0A">
        <w:t>these properties</w:t>
      </w:r>
      <w:r>
        <w:t xml:space="preserve"> we can classify each province according to the distribution of all </w:t>
      </w:r>
      <w:r w:rsidRPr="00EC1A7A">
        <w:t>their outgoing connections</w:t>
      </w:r>
      <w:r w:rsidR="003475C0" w:rsidRPr="00EC1A7A">
        <w:t xml:space="preserve"> and</w:t>
      </w:r>
      <w:r w:rsidR="001C4CDC">
        <w:t>,</w:t>
      </w:r>
      <w:r w:rsidR="003475C0" w:rsidRPr="00EC1A7A">
        <w:t xml:space="preserve"> also</w:t>
      </w:r>
      <w:r w:rsidR="001C4CDC">
        <w:t>,</w:t>
      </w:r>
      <w:r w:rsidR="003475C0" w:rsidRPr="00EC1A7A">
        <w:t xml:space="preserve"> all pairs</w:t>
      </w:r>
      <w:r w:rsidR="00F23CCD" w:rsidRPr="00EC1A7A">
        <w:t xml:space="preserve"> of provinces by their relationship</w:t>
      </w:r>
      <w:r w:rsidRPr="00EC1A7A">
        <w:t>. Fig</w:t>
      </w:r>
      <w:r w:rsidR="00C76680" w:rsidRPr="00EC1A7A">
        <w:t>ure</w:t>
      </w:r>
      <w:r w:rsidRPr="00EC1A7A">
        <w:t xml:space="preserve"> S</w:t>
      </w:r>
      <w:r w:rsidR="00C17BD6" w:rsidRPr="00EC1A7A">
        <w:t>4</w:t>
      </w:r>
      <w:r w:rsidRPr="00EC1A7A">
        <w:t xml:space="preserve"> show</w:t>
      </w:r>
      <w:r w:rsidR="006C2986" w:rsidRPr="00EC1A7A">
        <w:t>s</w:t>
      </w:r>
      <w:r w:rsidRPr="00EC1A7A">
        <w:t xml:space="preserve"> other examples of pair-</w:t>
      </w:r>
      <w:r w:rsidR="006C2986" w:rsidRPr="00EC1A7A">
        <w:t xml:space="preserve">to-pair </w:t>
      </w:r>
      <w:r w:rsidRPr="00EC1A7A">
        <w:t>connections of different magnitude and fig</w:t>
      </w:r>
      <w:r w:rsidR="00F23CCD" w:rsidRPr="00EC1A7A">
        <w:t>ure</w:t>
      </w:r>
      <w:r w:rsidRPr="00EC1A7A">
        <w:t xml:space="preserve"> S</w:t>
      </w:r>
      <w:r w:rsidR="00F23CCD" w:rsidRPr="00EC1A7A">
        <w:t>5</w:t>
      </w:r>
      <w:r w:rsidRPr="00EC1A7A">
        <w:t xml:space="preserve">, the set of all connections for other provinces. Percentages </w:t>
      </w:r>
      <m:oMath>
        <m:sSub>
          <m:sSubPr>
            <m:ctrlPr>
              <w:rPr>
                <w:rFonts w:ascii="Cambria Math" w:hAnsi="Cambria Math"/>
              </w:rPr>
            </m:ctrlPr>
          </m:sSubPr>
          <m:e>
            <m:r>
              <w:rPr>
                <w:rFonts w:ascii="Cambria Math" w:hAnsi="Cambria Math"/>
              </w:rPr>
              <m:t>P</m:t>
            </m:r>
          </m:e>
          <m:sub>
            <m:r>
              <w:rPr>
                <w:rFonts w:ascii="Cambria Math" w:hAnsi="Cambria Math"/>
              </w:rPr>
              <m:t>nm</m:t>
            </m:r>
          </m:sub>
        </m:sSub>
      </m:oMath>
      <w:r w:rsidRPr="00EC1A7A">
        <w:t xml:space="preserve"> remain more stable through </w:t>
      </w:r>
      <w:r w:rsidR="006C2986" w:rsidRPr="00EC1A7A">
        <w:t xml:space="preserve">time than the raw fluxes </w:t>
      </w:r>
      <m:oMath>
        <m:sSub>
          <m:sSubPr>
            <m:ctrlPr>
              <w:rPr>
                <w:rFonts w:ascii="Cambria Math" w:hAnsi="Cambria Math"/>
              </w:rPr>
            </m:ctrlPr>
          </m:sSubPr>
          <m:e>
            <m:r>
              <w:rPr>
                <w:rFonts w:ascii="Cambria Math" w:hAnsi="Cambria Math"/>
              </w:rPr>
              <m:t>F</m:t>
            </m:r>
          </m:e>
          <m:sub>
            <m:r>
              <w:rPr>
                <w:rFonts w:ascii="Cambria Math" w:hAnsi="Cambria Math"/>
              </w:rPr>
              <m:t>nm</m:t>
            </m:r>
          </m:sub>
        </m:sSub>
      </m:oMath>
      <w:r w:rsidR="006C2986" w:rsidRPr="00EC1A7A">
        <w:t>,</w:t>
      </w:r>
      <w:r w:rsidRPr="00EC1A7A">
        <w:t xml:space="preserve"> and therefore</w:t>
      </w:r>
      <w:r>
        <w:t xml:space="preserve"> allow to uncover inherent characteristics associated to mobility patterns in Spain.</w:t>
      </w:r>
    </w:p>
    <w:p w14:paraId="67826C1F" w14:textId="38C16E0C" w:rsidR="00C76680" w:rsidRDefault="00C17BD6" w:rsidP="00C17BD6">
      <w:pPr>
        <w:pStyle w:val="Textoindependiente"/>
        <w:spacing w:line="360" w:lineRule="auto"/>
        <w:jc w:val="center"/>
        <w:rPr>
          <w:b/>
          <w:bCs/>
        </w:rPr>
      </w:pPr>
      <w:r w:rsidRPr="00C17BD6">
        <w:rPr>
          <w:b/>
          <w:bCs/>
        </w:rPr>
        <w:lastRenderedPageBreak/>
        <w:t>Figure S4</w:t>
      </w:r>
      <w:r w:rsidR="003A5F03">
        <w:rPr>
          <w:b/>
          <w:bCs/>
        </w:rPr>
        <w:t xml:space="preserve">. </w:t>
      </w:r>
      <w:r w:rsidR="003A5F03" w:rsidRPr="003A5F03">
        <w:rPr>
          <w:b/>
          <w:bCs/>
        </w:rPr>
        <w:t>Daily percentage of travels between two provinces. Spain, 2020</w:t>
      </w:r>
      <w:r w:rsidR="00E75197">
        <w:rPr>
          <w:b/>
          <w:bCs/>
        </w:rPr>
        <w:br/>
      </w:r>
      <w:r w:rsidR="00E75197">
        <w:rPr>
          <w:b/>
          <w:bCs/>
          <w:noProof/>
          <w:lang w:val="es-ES" w:eastAsia="es-ES"/>
        </w:rPr>
        <w:drawing>
          <wp:inline distT="0" distB="0" distL="0" distR="0" wp14:anchorId="32A403B6" wp14:editId="70AC4212">
            <wp:extent cx="5610225" cy="2133600"/>
            <wp:effectExtent l="0" t="0" r="952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0225" cy="2133600"/>
                    </a:xfrm>
                    <a:prstGeom prst="rect">
                      <a:avLst/>
                    </a:prstGeom>
                    <a:noFill/>
                    <a:ln>
                      <a:noFill/>
                    </a:ln>
                  </pic:spPr>
                </pic:pic>
              </a:graphicData>
            </a:graphic>
          </wp:inline>
        </w:drawing>
      </w:r>
    </w:p>
    <w:p w14:paraId="74F04065" w14:textId="06329543" w:rsidR="00EC1A7A" w:rsidRPr="00EC1A7A" w:rsidRDefault="00EC1A7A" w:rsidP="00EC1A7A">
      <w:pPr>
        <w:pStyle w:val="Textoindependiente"/>
        <w:spacing w:line="360" w:lineRule="auto"/>
        <w:jc w:val="center"/>
        <w:rPr>
          <w:b/>
          <w:bCs/>
        </w:rPr>
      </w:pPr>
      <w:r>
        <w:rPr>
          <w:b/>
          <w:bCs/>
        </w:rPr>
        <w:t>Figure S5</w:t>
      </w:r>
      <w:r w:rsidR="004D5292">
        <w:rPr>
          <w:b/>
          <w:bCs/>
        </w:rPr>
        <w:t xml:space="preserve">. </w:t>
      </w:r>
      <w:r w:rsidR="004D5292" w:rsidRPr="004D5292">
        <w:rPr>
          <w:b/>
          <w:bCs/>
        </w:rPr>
        <w:t>Weekly percentage of travels from each province</w:t>
      </w:r>
      <w:r w:rsidR="004D5292">
        <w:rPr>
          <w:b/>
          <w:bCs/>
        </w:rPr>
        <w:br/>
      </w:r>
      <w:r w:rsidR="00DA5C06">
        <w:rPr>
          <w:b/>
          <w:bCs/>
          <w:noProof/>
          <w:lang w:val="es-ES" w:eastAsia="es-ES"/>
        </w:rPr>
        <w:drawing>
          <wp:inline distT="0" distB="0" distL="0" distR="0" wp14:anchorId="7F0196EE" wp14:editId="6A4C24F4">
            <wp:extent cx="5610225" cy="3848100"/>
            <wp:effectExtent l="0" t="0" r="952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0225" cy="3848100"/>
                    </a:xfrm>
                    <a:prstGeom prst="rect">
                      <a:avLst/>
                    </a:prstGeom>
                    <a:noFill/>
                    <a:ln>
                      <a:noFill/>
                    </a:ln>
                  </pic:spPr>
                </pic:pic>
              </a:graphicData>
            </a:graphic>
          </wp:inline>
        </w:drawing>
      </w:r>
      <w:r>
        <w:rPr>
          <w:b/>
          <w:bCs/>
        </w:rPr>
        <w:br/>
      </w:r>
    </w:p>
    <w:p w14:paraId="4CA96212" w14:textId="234238FB" w:rsidR="00160EA2" w:rsidRDefault="00BB7626" w:rsidP="00160EA2">
      <w:pPr>
        <w:pStyle w:val="Textoindependiente"/>
        <w:spacing w:line="360" w:lineRule="auto"/>
        <w:jc w:val="both"/>
      </w:pPr>
      <w:r>
        <w:t>Each province has a unique set of relations with their neighbors</w:t>
      </w:r>
      <w:r w:rsidR="007A12A3">
        <w:t>. If we want to study transmission phenomena, this is of crucial importance</w:t>
      </w:r>
      <w:r w:rsidR="00FE0A1F">
        <w:t xml:space="preserve"> since diffusion usually takes place forward</w:t>
      </w:r>
      <w:r w:rsidR="00C575F6">
        <w:t xml:space="preserve">. </w:t>
      </w:r>
      <w:r w:rsidR="007B7143">
        <w:t xml:space="preserve">We can look </w:t>
      </w:r>
      <w:r w:rsidR="00C575F6">
        <w:t>at</w:t>
      </w:r>
      <w:r w:rsidR="007B7143">
        <w:t xml:space="preserve"> the distribution of all percentage-connections in the network to find a mean </w:t>
      </w:r>
      <w:r w:rsidR="00C575F6">
        <w:t xml:space="preserve">value </w:t>
      </w:r>
      <w:r w:rsidR="007B7143">
        <w:t xml:space="preserve">of </w:t>
      </w:r>
      <w:r w:rsidR="00C575F6">
        <w:t>3%</w:t>
      </w:r>
      <w:r w:rsidR="007B7143">
        <w:t xml:space="preserve"> and a median of </w:t>
      </w:r>
      <w:r w:rsidR="00C575F6">
        <w:t>0</w:t>
      </w:r>
      <w:r w:rsidR="007B7143">
        <w:t>.2</w:t>
      </w:r>
      <w:r w:rsidR="00C575F6">
        <w:t>%</w:t>
      </w:r>
      <w:r w:rsidR="007B7143">
        <w:t xml:space="preserve">. </w:t>
      </w:r>
      <w:r w:rsidR="00C575F6">
        <w:t>That</w:t>
      </w:r>
      <w:r w:rsidR="007B7143">
        <w:t xml:space="preserve"> means that</w:t>
      </w:r>
      <w:r w:rsidR="00416701">
        <w:t xml:space="preserve">, even if </w:t>
      </w:r>
      <w:r w:rsidR="00416701">
        <w:lastRenderedPageBreak/>
        <w:t xml:space="preserve">people move </w:t>
      </w:r>
      <w:r w:rsidR="008C22CD">
        <w:t xml:space="preserve">through all provinces, it is clear that there are a set of important fluxes that will </w:t>
      </w:r>
      <w:r w:rsidR="009E414F">
        <w:t xml:space="preserve">determine geographical mobility patters and thus, govern transmission phenomena linked to human mobility. </w:t>
      </w:r>
    </w:p>
    <w:p w14:paraId="6B17F161" w14:textId="77777777" w:rsidR="00A456DE" w:rsidRDefault="00A456DE" w:rsidP="00F94685">
      <w:pPr>
        <w:pStyle w:val="Ttulo3"/>
      </w:pPr>
      <w:bookmarkStart w:id="2" w:name="_Toc105580912"/>
      <w:r>
        <w:t>Stable matrix of connections</w:t>
      </w:r>
      <w:bookmarkEnd w:id="2"/>
    </w:p>
    <w:p w14:paraId="1094110D" w14:textId="1F781C9E" w:rsidR="00A456DE" w:rsidRDefault="00A456DE" w:rsidP="00A456DE">
      <w:pPr>
        <w:pStyle w:val="FirstParagraph"/>
        <w:spacing w:line="360" w:lineRule="auto"/>
        <w:jc w:val="both"/>
      </w:pPr>
      <w:r>
        <w:t>We have shown how p</w:t>
      </w:r>
      <w:r w:rsidRPr="009B08E7">
        <w:t xml:space="preserve">ercentages </w:t>
      </w:r>
      <m:oMath>
        <m:sSub>
          <m:sSubPr>
            <m:ctrlPr>
              <w:rPr>
                <w:rFonts w:ascii="Cambria Math" w:hAnsi="Cambria Math"/>
              </w:rPr>
            </m:ctrlPr>
          </m:sSubPr>
          <m:e>
            <m:r>
              <w:rPr>
                <w:rFonts w:ascii="Cambria Math" w:hAnsi="Cambria Math"/>
              </w:rPr>
              <m:t>P</m:t>
            </m:r>
          </m:e>
          <m:sub>
            <m:r>
              <w:rPr>
                <w:rFonts w:ascii="Cambria Math" w:hAnsi="Cambria Math"/>
              </w:rPr>
              <m:t>nm</m:t>
            </m:r>
          </m:sub>
        </m:sSub>
      </m:oMath>
      <w:r w:rsidRPr="009B08E7">
        <w:t xml:space="preserve"> exhibit a smaller variation during</w:t>
      </w:r>
      <w:r>
        <w:t xml:space="preserve"> a year period when compared with fluxes </w:t>
      </w:r>
      <m:oMath>
        <m:sSub>
          <m:sSubPr>
            <m:ctrlPr>
              <w:rPr>
                <w:rFonts w:ascii="Cambria Math" w:hAnsi="Cambria Math"/>
              </w:rPr>
            </m:ctrlPr>
          </m:sSubPr>
          <m:e>
            <m:r>
              <w:rPr>
                <w:rFonts w:ascii="Cambria Math" w:hAnsi="Cambria Math"/>
              </w:rPr>
              <m:t>F</m:t>
            </m:r>
          </m:e>
          <m:sub>
            <m:r>
              <w:rPr>
                <w:rFonts w:ascii="Cambria Math" w:hAnsi="Cambria Math"/>
              </w:rPr>
              <m:t>nm</m:t>
            </m:r>
          </m:sub>
        </m:sSub>
      </m:oMath>
      <w:r w:rsidR="00B96DFB">
        <w:rPr>
          <w:rFonts w:eastAsiaTheme="minorEastAsia"/>
        </w:rPr>
        <w:t xml:space="preserve"> </w:t>
      </w:r>
      <w:r w:rsidR="006E6278">
        <w:rPr>
          <w:rFonts w:eastAsiaTheme="minorEastAsia"/>
        </w:rPr>
        <w:t xml:space="preserve">quantitatively </w:t>
      </w:r>
      <w:r w:rsidR="00B96DFB">
        <w:rPr>
          <w:rFonts w:eastAsiaTheme="minorEastAsia"/>
        </w:rPr>
        <w:t>(</w:t>
      </w:r>
      <w:r w:rsidR="00F000A5">
        <w:rPr>
          <w:rFonts w:eastAsiaTheme="minorEastAsia"/>
        </w:rPr>
        <w:t xml:space="preserve">coefficient of </w:t>
      </w:r>
      <w:r w:rsidR="00B96DFB">
        <w:rPr>
          <w:rFonts w:eastAsiaTheme="minorEastAsia"/>
        </w:rPr>
        <w:t xml:space="preserve">variation </w:t>
      </w:r>
      <w:r w:rsidR="006E6278">
        <w:rPr>
          <w:rFonts w:eastAsiaTheme="minorEastAsia"/>
        </w:rPr>
        <w:t>3.44 vs 4.98) and qualitatively (Figures S1-5)</w:t>
      </w:r>
      <w:r>
        <w:t xml:space="preserve">. </w:t>
      </w:r>
      <w:r w:rsidR="009B08E7">
        <w:t xml:space="preserve"> </w:t>
      </w:r>
      <w:r>
        <w:t xml:space="preserve">A mean </w:t>
      </w:r>
      <m:oMath>
        <m:sSub>
          <m:sSubPr>
            <m:ctrlPr>
              <w:rPr>
                <w:rFonts w:ascii="Cambria Math" w:hAnsi="Cambria Math"/>
              </w:rPr>
            </m:ctrlPr>
          </m:sSubPr>
          <m:e>
            <m:r>
              <w:rPr>
                <w:rFonts w:ascii="Cambria Math" w:hAnsi="Cambria Math"/>
              </w:rPr>
              <m:t>P</m:t>
            </m:r>
          </m:e>
          <m:sub>
            <m:r>
              <w:rPr>
                <w:rFonts w:ascii="Cambria Math" w:hAnsi="Cambria Math"/>
              </w:rPr>
              <m:t>nm</m:t>
            </m:r>
          </m:sub>
        </m:sSub>
      </m:oMath>
      <w:r>
        <w:t xml:space="preserve"> matrix was calculated for the period 2020 as the mean percentage for every connection present at any time in the network. Secondary mean matrices were obtained for the following periods: February (control data previous to pandemic arrival), April (full lock-down mandated), Summer time (21st June - 30th August, relative normality) and November (second travel ban issued).</w:t>
      </w:r>
    </w:p>
    <w:p w14:paraId="1B5EC81D" w14:textId="65A26C82" w:rsidR="00A456DE" w:rsidRDefault="00A456DE" w:rsidP="00A456DE">
      <w:pPr>
        <w:pStyle w:val="Textoindependiente"/>
        <w:spacing w:line="360" w:lineRule="auto"/>
        <w:jc w:val="both"/>
      </w:pPr>
      <w:r>
        <w:t xml:space="preserve">From each </w:t>
      </w:r>
      <m:oMath>
        <m:sSub>
          <m:sSubPr>
            <m:ctrlPr>
              <w:rPr>
                <w:rFonts w:ascii="Cambria Math" w:hAnsi="Cambria Math"/>
              </w:rPr>
            </m:ctrlPr>
          </m:sSubPr>
          <m:e>
            <m:r>
              <w:rPr>
                <w:rFonts w:ascii="Cambria Math" w:hAnsi="Cambria Math"/>
              </w:rPr>
              <m:t>P</m:t>
            </m:r>
          </m:e>
          <m:sub>
            <m:r>
              <w:rPr>
                <w:rFonts w:ascii="Cambria Math" w:hAnsi="Cambria Math"/>
              </w:rPr>
              <m:t>nm</m:t>
            </m:r>
          </m:sub>
        </m:sSub>
      </m:oMath>
      <w:r>
        <w:t xml:space="preserve"> matrix</w:t>
      </w:r>
      <w:r w:rsidR="00FC0801">
        <w:t xml:space="preserve"> above</w:t>
      </w:r>
      <w:r>
        <w:t xml:space="preserve">, Effective Distances (ED) were calculated as expressed in the main paper. </w:t>
      </w:r>
      <w:r w:rsidR="00FC0801">
        <w:t xml:space="preserve">To compare the </w:t>
      </w:r>
      <w:r w:rsidR="00B6711A">
        <w:t>four periods with the mean 2020 matrix</w:t>
      </w:r>
      <w:r>
        <w:t xml:space="preserve">, the ratio between ED for each secondary matrix and the mean matrix was obtained to test for divergences in values for each </w:t>
      </w:r>
      <w:r w:rsidR="00347C16">
        <w:t xml:space="preserve">pair </w:t>
      </w:r>
      <m:oMath>
        <m:r>
          <w:rPr>
            <w:rFonts w:ascii="Cambria Math" w:hAnsi="Cambria Math"/>
          </w:rPr>
          <m:t>n</m:t>
        </m:r>
      </m:oMath>
      <w:r w:rsidR="00347C16">
        <w:t>,</w:t>
      </w:r>
      <w:r>
        <w:t xml:space="preserve"> </w:t>
      </w:r>
      <m:oMath>
        <m:r>
          <w:rPr>
            <w:rFonts w:ascii="Cambria Math" w:hAnsi="Cambria Math"/>
          </w:rPr>
          <m:t>m</m:t>
        </m:r>
      </m:oMath>
      <w:r>
        <w:t xml:space="preserve">. </w:t>
      </w:r>
      <w:r w:rsidR="00304BA2">
        <w:t xml:space="preserve">If the </w:t>
      </w:r>
      <w:r w:rsidR="0031493C">
        <w:t xml:space="preserve">values compared were to be </w:t>
      </w:r>
      <w:r w:rsidR="00347C16">
        <w:t>akin</w:t>
      </w:r>
      <w:r w:rsidR="00B44AF6">
        <w:t>, their ratio should be 1 or very close to 1</w:t>
      </w:r>
      <w:r w:rsidR="00A95941">
        <w:t xml:space="preserve">. We explored mean and standard deviation for all compared periods </w:t>
      </w:r>
      <w:r w:rsidR="003B4539">
        <w:t xml:space="preserve">with </w:t>
      </w:r>
      <w:r w:rsidR="00D76D5C">
        <w:t xml:space="preserve">all of them being around 1 with small standard deviations, concluding </w:t>
      </w:r>
      <w:r>
        <w:t xml:space="preserve">that no relevant differences </w:t>
      </w:r>
      <w:r w:rsidR="00A95941">
        <w:t>could</w:t>
      </w:r>
      <w:r>
        <w:t xml:space="preserve"> be appreciated</w:t>
      </w:r>
      <w:r w:rsidR="00A95941">
        <w:t xml:space="preserve">. </w:t>
      </w:r>
      <w:r w:rsidR="00D76D5C">
        <w:t>April was the most differentiated period, as travelling was strictly prohibited</w:t>
      </w:r>
      <w:r w:rsidR="00496F39">
        <w:t xml:space="preserve">. </w:t>
      </w:r>
      <w:r w:rsidR="00A95941">
        <w:t>Thus,</w:t>
      </w:r>
      <w:r>
        <w:t xml:space="preserve"> any </w:t>
      </w:r>
      <m:oMath>
        <m:sSub>
          <m:sSubPr>
            <m:ctrlPr>
              <w:rPr>
                <w:rFonts w:ascii="Cambria Math" w:hAnsi="Cambria Math"/>
              </w:rPr>
            </m:ctrlPr>
          </m:sSubPr>
          <m:e>
            <m:r>
              <w:rPr>
                <w:rFonts w:ascii="Cambria Math" w:hAnsi="Cambria Math"/>
              </w:rPr>
              <m:t>P</m:t>
            </m:r>
          </m:e>
          <m:sub>
            <m:r>
              <w:rPr>
                <w:rFonts w:ascii="Cambria Math" w:hAnsi="Cambria Math"/>
              </w:rPr>
              <m:t>nm</m:t>
            </m:r>
          </m:sub>
        </m:sSub>
      </m:oMath>
      <w:r w:rsidR="00A95941">
        <w:rPr>
          <w:rFonts w:eastAsiaTheme="minorEastAsia"/>
        </w:rPr>
        <w:t xml:space="preserve"> </w:t>
      </w:r>
      <w:r>
        <w:t xml:space="preserve">matrix could be representative of the mobility patterns in Spain for </w:t>
      </w:r>
      <w:r w:rsidR="00A95941">
        <w:t xml:space="preserve">the year </w:t>
      </w:r>
      <w:r>
        <w:t>2020.</w:t>
      </w:r>
    </w:p>
    <w:p w14:paraId="47764E1C" w14:textId="774E7793" w:rsidR="00FE4F58" w:rsidRPr="003B4539" w:rsidRDefault="00FE4F58" w:rsidP="00A456DE">
      <w:pPr>
        <w:pStyle w:val="Textoindependiente"/>
        <w:spacing w:line="360" w:lineRule="auto"/>
        <w:jc w:val="both"/>
        <w:rPr>
          <w:b/>
          <w:bCs/>
        </w:rPr>
      </w:pPr>
      <w:r w:rsidRPr="003B4539">
        <w:rPr>
          <w:b/>
          <w:bCs/>
        </w:rPr>
        <w:t xml:space="preserve">Table S1. </w:t>
      </w:r>
      <w:r w:rsidR="0034082B" w:rsidRPr="003B4539">
        <w:rPr>
          <w:b/>
          <w:bCs/>
        </w:rPr>
        <w:t xml:space="preserve">Comparison of Effective Distance Matrixes </w:t>
      </w:r>
      <w:r w:rsidR="00D418B1" w:rsidRPr="003B4539">
        <w:rPr>
          <w:b/>
          <w:bCs/>
        </w:rPr>
        <w:t>during 2020</w: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5"/>
        <w:gridCol w:w="1561"/>
        <w:gridCol w:w="1702"/>
        <w:gridCol w:w="1681"/>
        <w:gridCol w:w="1769"/>
      </w:tblGrid>
      <w:tr w:rsidR="00EE361E" w14:paraId="7820CB30" w14:textId="77777777" w:rsidTr="003B4539">
        <w:trPr>
          <w:trHeight w:val="782"/>
        </w:trPr>
        <w:tc>
          <w:tcPr>
            <w:tcW w:w="1202" w:type="pct"/>
            <w:vAlign w:val="center"/>
          </w:tcPr>
          <w:p w14:paraId="5F23C167" w14:textId="77777777" w:rsidR="00EE361E" w:rsidRDefault="00EE361E" w:rsidP="00B6711A">
            <w:pPr>
              <w:pStyle w:val="Textoindependiente"/>
              <w:spacing w:line="360" w:lineRule="auto"/>
              <w:jc w:val="center"/>
            </w:pPr>
          </w:p>
        </w:tc>
        <w:tc>
          <w:tcPr>
            <w:tcW w:w="3798" w:type="pct"/>
            <w:gridSpan w:val="4"/>
            <w:tcBorders>
              <w:bottom w:val="single" w:sz="4" w:space="0" w:color="auto"/>
            </w:tcBorders>
            <w:vAlign w:val="center"/>
          </w:tcPr>
          <w:p w14:paraId="1139F961" w14:textId="3F8BE181" w:rsidR="00EE361E" w:rsidRPr="003B4539" w:rsidRDefault="00EE361E" w:rsidP="00B6711A">
            <w:pPr>
              <w:pStyle w:val="Textoindependiente"/>
              <w:spacing w:line="360" w:lineRule="auto"/>
              <w:jc w:val="center"/>
              <w:rPr>
                <w:b/>
                <w:bCs/>
                <w:i/>
                <w:iCs/>
              </w:rPr>
            </w:pPr>
            <w:r w:rsidRPr="003B4539">
              <w:rPr>
                <w:b/>
                <w:bCs/>
                <w:i/>
                <w:iCs/>
                <w:sz w:val="22"/>
                <w:szCs w:val="22"/>
              </w:rPr>
              <w:t>Mean</w:t>
            </w:r>
            <w:r w:rsidRPr="003B4539">
              <w:rPr>
                <w:b/>
                <w:bCs/>
                <w:i/>
                <w:iCs/>
              </w:rPr>
              <w:t xml:space="preserve"> ED for 2020</w:t>
            </w:r>
          </w:p>
        </w:tc>
      </w:tr>
      <w:tr w:rsidR="00EE361E" w14:paraId="244CF65F" w14:textId="77777777" w:rsidTr="003B4539">
        <w:trPr>
          <w:trHeight w:val="454"/>
        </w:trPr>
        <w:tc>
          <w:tcPr>
            <w:tcW w:w="1202" w:type="pct"/>
            <w:vAlign w:val="center"/>
          </w:tcPr>
          <w:p w14:paraId="1D1FDF2F" w14:textId="5688B9A2" w:rsidR="00EE361E" w:rsidRDefault="00EE361E" w:rsidP="00B6711A">
            <w:pPr>
              <w:pStyle w:val="Textoindependiente"/>
              <w:spacing w:line="360" w:lineRule="auto"/>
              <w:jc w:val="center"/>
            </w:pPr>
          </w:p>
        </w:tc>
        <w:tc>
          <w:tcPr>
            <w:tcW w:w="883" w:type="pct"/>
            <w:tcBorders>
              <w:top w:val="single" w:sz="4" w:space="0" w:color="auto"/>
              <w:bottom w:val="single" w:sz="4" w:space="0" w:color="auto"/>
            </w:tcBorders>
            <w:vAlign w:val="center"/>
          </w:tcPr>
          <w:p w14:paraId="6AC1D388" w14:textId="692D961D" w:rsidR="00EE361E" w:rsidRPr="003B4539" w:rsidRDefault="00EE361E" w:rsidP="00B6711A">
            <w:pPr>
              <w:pStyle w:val="Textoindependiente"/>
              <w:spacing w:line="360" w:lineRule="auto"/>
              <w:jc w:val="center"/>
              <w:rPr>
                <w:b/>
                <w:bCs/>
                <w:i/>
                <w:iCs/>
                <w:sz w:val="20"/>
                <w:szCs w:val="20"/>
              </w:rPr>
            </w:pPr>
            <w:r w:rsidRPr="003B4539">
              <w:rPr>
                <w:b/>
                <w:bCs/>
                <w:i/>
                <w:iCs/>
                <w:sz w:val="20"/>
                <w:szCs w:val="20"/>
              </w:rPr>
              <w:t xml:space="preserve">ED </w:t>
            </w:r>
            <w:r w:rsidR="00BF7448" w:rsidRPr="003B4539">
              <w:rPr>
                <w:b/>
                <w:bCs/>
                <w:i/>
                <w:iCs/>
                <w:sz w:val="20"/>
                <w:szCs w:val="20"/>
              </w:rPr>
              <w:t>February</w:t>
            </w:r>
          </w:p>
        </w:tc>
        <w:tc>
          <w:tcPr>
            <w:tcW w:w="963" w:type="pct"/>
            <w:tcBorders>
              <w:top w:val="single" w:sz="4" w:space="0" w:color="auto"/>
              <w:bottom w:val="single" w:sz="4" w:space="0" w:color="auto"/>
            </w:tcBorders>
            <w:vAlign w:val="center"/>
          </w:tcPr>
          <w:p w14:paraId="28DCF0DC" w14:textId="7ABDCAC8" w:rsidR="00EE361E" w:rsidRPr="003B4539" w:rsidRDefault="00EE361E" w:rsidP="00B6711A">
            <w:pPr>
              <w:pStyle w:val="Textoindependiente"/>
              <w:spacing w:line="360" w:lineRule="auto"/>
              <w:jc w:val="center"/>
              <w:rPr>
                <w:b/>
                <w:bCs/>
                <w:i/>
                <w:iCs/>
                <w:sz w:val="20"/>
                <w:szCs w:val="20"/>
              </w:rPr>
            </w:pPr>
            <w:r w:rsidRPr="003B4539">
              <w:rPr>
                <w:b/>
                <w:bCs/>
                <w:i/>
                <w:iCs/>
                <w:sz w:val="20"/>
                <w:szCs w:val="20"/>
              </w:rPr>
              <w:t>ED April</w:t>
            </w:r>
          </w:p>
        </w:tc>
        <w:tc>
          <w:tcPr>
            <w:tcW w:w="951" w:type="pct"/>
            <w:tcBorders>
              <w:top w:val="single" w:sz="4" w:space="0" w:color="auto"/>
              <w:bottom w:val="single" w:sz="4" w:space="0" w:color="auto"/>
            </w:tcBorders>
            <w:vAlign w:val="center"/>
          </w:tcPr>
          <w:p w14:paraId="3F10E357" w14:textId="4E387D5C" w:rsidR="00EE361E" w:rsidRPr="003B4539" w:rsidRDefault="00EE361E" w:rsidP="00B6711A">
            <w:pPr>
              <w:pStyle w:val="Textoindependiente"/>
              <w:spacing w:line="360" w:lineRule="auto"/>
              <w:jc w:val="center"/>
              <w:rPr>
                <w:b/>
                <w:bCs/>
                <w:i/>
                <w:iCs/>
                <w:sz w:val="20"/>
                <w:szCs w:val="20"/>
              </w:rPr>
            </w:pPr>
            <w:r w:rsidRPr="003B4539">
              <w:rPr>
                <w:b/>
                <w:bCs/>
                <w:i/>
                <w:iCs/>
                <w:sz w:val="20"/>
                <w:szCs w:val="20"/>
              </w:rPr>
              <w:t>ED Summer</w:t>
            </w:r>
          </w:p>
        </w:tc>
        <w:tc>
          <w:tcPr>
            <w:tcW w:w="1001" w:type="pct"/>
            <w:tcBorders>
              <w:top w:val="single" w:sz="4" w:space="0" w:color="auto"/>
              <w:bottom w:val="single" w:sz="4" w:space="0" w:color="auto"/>
            </w:tcBorders>
            <w:vAlign w:val="center"/>
          </w:tcPr>
          <w:p w14:paraId="05EE5C06" w14:textId="503B3DDB" w:rsidR="00EE361E" w:rsidRPr="003B4539" w:rsidRDefault="00EE361E" w:rsidP="00B6711A">
            <w:pPr>
              <w:pStyle w:val="Textoindependiente"/>
              <w:spacing w:line="360" w:lineRule="auto"/>
              <w:jc w:val="center"/>
              <w:rPr>
                <w:b/>
                <w:bCs/>
                <w:i/>
                <w:iCs/>
                <w:sz w:val="20"/>
                <w:szCs w:val="20"/>
              </w:rPr>
            </w:pPr>
            <w:r w:rsidRPr="003B4539">
              <w:rPr>
                <w:b/>
                <w:bCs/>
                <w:i/>
                <w:iCs/>
                <w:sz w:val="20"/>
                <w:szCs w:val="20"/>
              </w:rPr>
              <w:t>ED November</w:t>
            </w:r>
          </w:p>
        </w:tc>
      </w:tr>
      <w:tr w:rsidR="00EE361E" w14:paraId="07AFF625" w14:textId="77777777" w:rsidTr="003B4539">
        <w:trPr>
          <w:trHeight w:val="459"/>
        </w:trPr>
        <w:tc>
          <w:tcPr>
            <w:tcW w:w="1202" w:type="pct"/>
            <w:vAlign w:val="center"/>
          </w:tcPr>
          <w:p w14:paraId="37946A16" w14:textId="2A5166F7" w:rsidR="00087F5E" w:rsidRPr="003B4539" w:rsidRDefault="00EE361E" w:rsidP="00B6711A">
            <w:pPr>
              <w:pStyle w:val="Textoindependiente"/>
              <w:spacing w:line="360" w:lineRule="auto"/>
              <w:jc w:val="center"/>
              <w:rPr>
                <w:sz w:val="20"/>
                <w:szCs w:val="20"/>
              </w:rPr>
            </w:pPr>
            <w:r w:rsidRPr="003B4539">
              <w:rPr>
                <w:sz w:val="20"/>
                <w:szCs w:val="20"/>
              </w:rPr>
              <w:t xml:space="preserve">Ratio </w:t>
            </w:r>
            <w:r w:rsidR="00087F5E" w:rsidRPr="003B4539">
              <w:rPr>
                <w:sz w:val="20"/>
                <w:szCs w:val="20"/>
              </w:rPr>
              <w:t>ED</w:t>
            </w:r>
          </w:p>
        </w:tc>
        <w:tc>
          <w:tcPr>
            <w:tcW w:w="883" w:type="pct"/>
            <w:tcBorders>
              <w:top w:val="single" w:sz="4" w:space="0" w:color="auto"/>
            </w:tcBorders>
            <w:vAlign w:val="center"/>
          </w:tcPr>
          <w:p w14:paraId="53B6A415" w14:textId="1A7ED79A" w:rsidR="00EE361E" w:rsidRPr="00B6711A" w:rsidRDefault="002B44D7" w:rsidP="00B6711A">
            <w:pPr>
              <w:pStyle w:val="Textoindependiente"/>
              <w:spacing w:line="360" w:lineRule="auto"/>
              <w:jc w:val="center"/>
              <w:rPr>
                <w:sz w:val="20"/>
                <w:szCs w:val="20"/>
              </w:rPr>
            </w:pPr>
            <w:r w:rsidRPr="00B6711A">
              <w:rPr>
                <w:sz w:val="20"/>
                <w:szCs w:val="20"/>
              </w:rPr>
              <w:t>1.01</w:t>
            </w:r>
          </w:p>
        </w:tc>
        <w:tc>
          <w:tcPr>
            <w:tcW w:w="963" w:type="pct"/>
            <w:tcBorders>
              <w:top w:val="single" w:sz="4" w:space="0" w:color="auto"/>
            </w:tcBorders>
            <w:vAlign w:val="center"/>
          </w:tcPr>
          <w:p w14:paraId="20C1AE85" w14:textId="3E7897AE" w:rsidR="00EE361E" w:rsidRPr="00B6711A" w:rsidRDefault="00BF7448" w:rsidP="00B6711A">
            <w:pPr>
              <w:pStyle w:val="Textoindependiente"/>
              <w:spacing w:line="360" w:lineRule="auto"/>
              <w:jc w:val="center"/>
              <w:rPr>
                <w:sz w:val="20"/>
                <w:szCs w:val="20"/>
              </w:rPr>
            </w:pPr>
            <w:r w:rsidRPr="00B6711A">
              <w:rPr>
                <w:sz w:val="20"/>
                <w:szCs w:val="20"/>
              </w:rPr>
              <w:t>0.98</w:t>
            </w:r>
          </w:p>
        </w:tc>
        <w:tc>
          <w:tcPr>
            <w:tcW w:w="951" w:type="pct"/>
            <w:tcBorders>
              <w:top w:val="single" w:sz="4" w:space="0" w:color="auto"/>
            </w:tcBorders>
            <w:vAlign w:val="center"/>
          </w:tcPr>
          <w:p w14:paraId="4150E594" w14:textId="60AF8386" w:rsidR="00EE361E" w:rsidRPr="00B6711A" w:rsidRDefault="002B44D7" w:rsidP="00B6711A">
            <w:pPr>
              <w:pStyle w:val="Textoindependiente"/>
              <w:spacing w:line="360" w:lineRule="auto"/>
              <w:jc w:val="center"/>
              <w:rPr>
                <w:sz w:val="20"/>
                <w:szCs w:val="20"/>
              </w:rPr>
            </w:pPr>
            <w:r w:rsidRPr="00B6711A">
              <w:rPr>
                <w:sz w:val="20"/>
                <w:szCs w:val="20"/>
              </w:rPr>
              <w:t>1</w:t>
            </w:r>
          </w:p>
        </w:tc>
        <w:tc>
          <w:tcPr>
            <w:tcW w:w="1001" w:type="pct"/>
            <w:tcBorders>
              <w:top w:val="single" w:sz="4" w:space="0" w:color="auto"/>
            </w:tcBorders>
            <w:vAlign w:val="center"/>
          </w:tcPr>
          <w:p w14:paraId="5784409F" w14:textId="0C762428" w:rsidR="00EE361E" w:rsidRPr="00B6711A" w:rsidRDefault="00087F5E" w:rsidP="00B6711A">
            <w:pPr>
              <w:pStyle w:val="Textoindependiente"/>
              <w:spacing w:line="360" w:lineRule="auto"/>
              <w:jc w:val="center"/>
              <w:rPr>
                <w:sz w:val="20"/>
                <w:szCs w:val="20"/>
              </w:rPr>
            </w:pPr>
            <w:r w:rsidRPr="00B6711A">
              <w:rPr>
                <w:sz w:val="20"/>
                <w:szCs w:val="20"/>
              </w:rPr>
              <w:t>1.01</w:t>
            </w:r>
          </w:p>
        </w:tc>
      </w:tr>
      <w:tr w:rsidR="00EE361E" w14:paraId="2AC5010E" w14:textId="77777777" w:rsidTr="003B4539">
        <w:trPr>
          <w:trHeight w:val="811"/>
        </w:trPr>
        <w:tc>
          <w:tcPr>
            <w:tcW w:w="1202" w:type="pct"/>
            <w:tcBorders>
              <w:bottom w:val="single" w:sz="4" w:space="0" w:color="auto"/>
            </w:tcBorders>
            <w:vAlign w:val="center"/>
          </w:tcPr>
          <w:p w14:paraId="2F1DD192" w14:textId="1820105B" w:rsidR="00EE361E" w:rsidRPr="003B4539" w:rsidRDefault="00087F5E" w:rsidP="00B6711A">
            <w:pPr>
              <w:pStyle w:val="Textoindependiente"/>
              <w:spacing w:line="360" w:lineRule="auto"/>
              <w:jc w:val="center"/>
              <w:rPr>
                <w:sz w:val="20"/>
                <w:szCs w:val="20"/>
              </w:rPr>
            </w:pPr>
            <w:r w:rsidRPr="003B4539">
              <w:rPr>
                <w:sz w:val="20"/>
                <w:szCs w:val="20"/>
              </w:rPr>
              <w:t>Standard deviation</w:t>
            </w:r>
          </w:p>
        </w:tc>
        <w:tc>
          <w:tcPr>
            <w:tcW w:w="883" w:type="pct"/>
            <w:tcBorders>
              <w:bottom w:val="single" w:sz="4" w:space="0" w:color="auto"/>
            </w:tcBorders>
            <w:vAlign w:val="center"/>
          </w:tcPr>
          <w:p w14:paraId="25FDAC13" w14:textId="3094176E" w:rsidR="00EE361E" w:rsidRPr="00B6711A" w:rsidRDefault="002B44D7" w:rsidP="00B6711A">
            <w:pPr>
              <w:pStyle w:val="Textoindependiente"/>
              <w:spacing w:line="360" w:lineRule="auto"/>
              <w:jc w:val="center"/>
              <w:rPr>
                <w:sz w:val="20"/>
                <w:szCs w:val="20"/>
              </w:rPr>
            </w:pPr>
            <w:r w:rsidRPr="00B6711A">
              <w:rPr>
                <w:sz w:val="20"/>
                <w:szCs w:val="20"/>
              </w:rPr>
              <w:t>0.05</w:t>
            </w:r>
          </w:p>
        </w:tc>
        <w:tc>
          <w:tcPr>
            <w:tcW w:w="963" w:type="pct"/>
            <w:tcBorders>
              <w:bottom w:val="single" w:sz="4" w:space="0" w:color="auto"/>
            </w:tcBorders>
            <w:vAlign w:val="center"/>
          </w:tcPr>
          <w:p w14:paraId="0FBF2D2C" w14:textId="5DFB2271" w:rsidR="00EE361E" w:rsidRPr="00B6711A" w:rsidRDefault="00BF7448" w:rsidP="00B6711A">
            <w:pPr>
              <w:pStyle w:val="Textoindependiente"/>
              <w:spacing w:line="360" w:lineRule="auto"/>
              <w:jc w:val="center"/>
              <w:rPr>
                <w:sz w:val="20"/>
                <w:szCs w:val="20"/>
              </w:rPr>
            </w:pPr>
            <w:r w:rsidRPr="00B6711A">
              <w:rPr>
                <w:sz w:val="20"/>
                <w:szCs w:val="20"/>
              </w:rPr>
              <w:t>0.08</w:t>
            </w:r>
          </w:p>
        </w:tc>
        <w:tc>
          <w:tcPr>
            <w:tcW w:w="951" w:type="pct"/>
            <w:tcBorders>
              <w:bottom w:val="single" w:sz="4" w:space="0" w:color="auto"/>
            </w:tcBorders>
            <w:vAlign w:val="center"/>
          </w:tcPr>
          <w:p w14:paraId="3434A36A" w14:textId="07B9CF77" w:rsidR="002B44D7" w:rsidRPr="00B6711A" w:rsidRDefault="002B44D7" w:rsidP="00B6711A">
            <w:pPr>
              <w:pStyle w:val="Textoindependiente"/>
              <w:spacing w:line="360" w:lineRule="auto"/>
              <w:jc w:val="center"/>
              <w:rPr>
                <w:sz w:val="20"/>
                <w:szCs w:val="20"/>
              </w:rPr>
            </w:pPr>
            <w:r w:rsidRPr="00B6711A">
              <w:rPr>
                <w:sz w:val="20"/>
                <w:szCs w:val="20"/>
              </w:rPr>
              <w:t>0.05</w:t>
            </w:r>
          </w:p>
        </w:tc>
        <w:tc>
          <w:tcPr>
            <w:tcW w:w="1001" w:type="pct"/>
            <w:tcBorders>
              <w:bottom w:val="single" w:sz="4" w:space="0" w:color="auto"/>
            </w:tcBorders>
            <w:vAlign w:val="center"/>
          </w:tcPr>
          <w:p w14:paraId="626DD659" w14:textId="63D9E246" w:rsidR="00EE361E" w:rsidRPr="00B6711A" w:rsidRDefault="00087F5E" w:rsidP="00B6711A">
            <w:pPr>
              <w:pStyle w:val="Textoindependiente"/>
              <w:spacing w:line="360" w:lineRule="auto"/>
              <w:jc w:val="center"/>
              <w:rPr>
                <w:sz w:val="20"/>
                <w:szCs w:val="20"/>
              </w:rPr>
            </w:pPr>
            <w:r w:rsidRPr="00B6711A">
              <w:rPr>
                <w:sz w:val="20"/>
                <w:szCs w:val="20"/>
              </w:rPr>
              <w:t>0.04</w:t>
            </w:r>
          </w:p>
        </w:tc>
      </w:tr>
    </w:tbl>
    <w:p w14:paraId="2C56F04E" w14:textId="77777777" w:rsidR="00CF42DE" w:rsidRDefault="00CF42DE" w:rsidP="00A456DE">
      <w:pPr>
        <w:pStyle w:val="Textoindependiente"/>
        <w:spacing w:line="360" w:lineRule="auto"/>
        <w:jc w:val="both"/>
      </w:pPr>
    </w:p>
    <w:p w14:paraId="4F5793DC" w14:textId="6ED735E2" w:rsidR="00160EA2" w:rsidRDefault="00A456DE" w:rsidP="00DB20CF">
      <w:pPr>
        <w:pStyle w:val="Textoindependiente"/>
        <w:spacing w:line="360" w:lineRule="auto"/>
        <w:jc w:val="both"/>
      </w:pPr>
      <w:r>
        <w:t xml:space="preserve">Therefore, we select the mean 2020 </w:t>
      </w:r>
      <m:oMath>
        <m:sSub>
          <m:sSubPr>
            <m:ctrlPr>
              <w:rPr>
                <w:rFonts w:ascii="Cambria Math" w:hAnsi="Cambria Math"/>
              </w:rPr>
            </m:ctrlPr>
          </m:sSubPr>
          <m:e>
            <m:r>
              <w:rPr>
                <w:rFonts w:ascii="Cambria Math" w:hAnsi="Cambria Math"/>
              </w:rPr>
              <m:t>P</m:t>
            </m:r>
          </m:e>
          <m:sub>
            <m:r>
              <w:rPr>
                <w:rFonts w:ascii="Cambria Math" w:hAnsi="Cambria Math"/>
              </w:rPr>
              <m:t>nm</m:t>
            </m:r>
          </m:sub>
        </m:sSub>
      </m:oMath>
      <w:r>
        <w:t xml:space="preserve"> (and its ED derivative) as the Mobility Matrix that sums up qualitative properties, behavior and emerging properties of mobility patterns in Spain, regardless of time period, restrictions in place or other elements of variance.</w:t>
      </w:r>
    </w:p>
    <w:p w14:paraId="55B3F531" w14:textId="40A716E1" w:rsidR="00193A1D" w:rsidRPr="00E55076" w:rsidRDefault="00F5583B" w:rsidP="00F94685">
      <w:pPr>
        <w:pStyle w:val="Ttulo3"/>
      </w:pPr>
      <w:bookmarkStart w:id="3" w:name="_Toc105580913"/>
      <w:bookmarkStart w:id="4" w:name="stable-matrix-of-connections"/>
      <w:r>
        <w:t>From the Mobility Matrix to the Epidemic Diffusion Network</w:t>
      </w:r>
      <w:bookmarkEnd w:id="3"/>
    </w:p>
    <w:p w14:paraId="0DC41B4C" w14:textId="3FFED4C0" w:rsidR="00F94685" w:rsidRDefault="00FF7A0E" w:rsidP="00252A06">
      <w:pPr>
        <w:pStyle w:val="Textoindependiente"/>
        <w:spacing w:line="360" w:lineRule="auto"/>
        <w:jc w:val="both"/>
      </w:pPr>
      <w:r w:rsidRPr="001A145E">
        <w:t xml:space="preserve">The </w:t>
      </w:r>
      <w:r w:rsidR="00117E6B" w:rsidRPr="001A145E">
        <w:t xml:space="preserve">defined MM is very rich in connections. Between the 52 Spanish provinces, 2264 </w:t>
      </w:r>
      <w:r w:rsidR="00E51CA4" w:rsidRPr="001A145E">
        <w:t xml:space="preserve">connections arise. </w:t>
      </w:r>
      <w:r w:rsidR="00E51CA4">
        <w:t xml:space="preserve">We saw how the mean (3%) and median (0,3%) </w:t>
      </w:r>
      <m:oMath>
        <m:sSub>
          <m:sSubPr>
            <m:ctrlPr>
              <w:rPr>
                <w:rFonts w:ascii="Cambria Math" w:hAnsi="Cambria Math"/>
              </w:rPr>
            </m:ctrlPr>
          </m:sSubPr>
          <m:e>
            <m:r>
              <w:rPr>
                <w:rFonts w:ascii="Cambria Math" w:hAnsi="Cambria Math"/>
              </w:rPr>
              <m:t>P</m:t>
            </m:r>
          </m:e>
          <m:sub>
            <m:r>
              <w:rPr>
                <w:rFonts w:ascii="Cambria Math" w:hAnsi="Cambria Math"/>
              </w:rPr>
              <m:t>nm</m:t>
            </m:r>
          </m:sub>
        </m:sSub>
      </m:oMath>
      <w:r w:rsidR="00E51CA4">
        <w:rPr>
          <w:rFonts w:eastAsiaTheme="minorEastAsia"/>
        </w:rPr>
        <w:t xml:space="preserve"> values </w:t>
      </w:r>
      <w:r w:rsidR="00647986">
        <w:rPr>
          <w:rFonts w:eastAsiaTheme="minorEastAsia"/>
        </w:rPr>
        <w:t>(f</w:t>
      </w:r>
      <w:r w:rsidR="00647986">
        <w:rPr>
          <w:rFonts w:eastAsia="Times New Roman"/>
        </w:rPr>
        <w:t xml:space="preserve">or </w:t>
      </w:r>
      <m:oMath>
        <m:sSub>
          <m:sSubPr>
            <m:ctrlPr>
              <w:rPr>
                <w:rFonts w:ascii="Cambria Math" w:hAnsi="Cambria Math"/>
              </w:rPr>
            </m:ctrlPr>
          </m:sSubPr>
          <m:e>
            <m:r>
              <w:rPr>
                <w:rFonts w:ascii="Cambria Math" w:hAnsi="Cambria Math"/>
              </w:rPr>
              <m:t>d</m:t>
            </m:r>
          </m:e>
          <m:sub>
            <m:r>
              <w:rPr>
                <w:rFonts w:ascii="Cambria Math" w:hAnsi="Cambria Math"/>
              </w:rPr>
              <m:t>nm</m:t>
            </m:r>
          </m:sub>
        </m:sSub>
      </m:oMath>
      <w:r w:rsidR="00647986">
        <w:rPr>
          <w:rFonts w:eastAsia="Times New Roman"/>
        </w:rPr>
        <w:t xml:space="preserve">, these values are 7.17 and 7.54, respectively) </w:t>
      </w:r>
      <w:r w:rsidR="00E51CA4">
        <w:rPr>
          <w:rFonts w:eastAsiaTheme="minorEastAsia"/>
        </w:rPr>
        <w:t>of the MM pointed towards a</w:t>
      </w:r>
      <w:r w:rsidR="00D27254">
        <w:rPr>
          <w:rFonts w:eastAsiaTheme="minorEastAsia"/>
        </w:rPr>
        <w:t xml:space="preserve">n absolute dominance of </w:t>
      </w:r>
      <w:r w:rsidR="00347C16">
        <w:rPr>
          <w:rFonts w:eastAsiaTheme="minorEastAsia"/>
        </w:rPr>
        <w:t xml:space="preserve">major </w:t>
      </w:r>
      <w:r w:rsidR="00D27254">
        <w:rPr>
          <w:rFonts w:eastAsiaTheme="minorEastAsia"/>
        </w:rPr>
        <w:t xml:space="preserve">travel fluxes </w:t>
      </w:r>
      <w:r w:rsidR="00347C16">
        <w:rPr>
          <w:rFonts w:eastAsiaTheme="minorEastAsia"/>
        </w:rPr>
        <w:t xml:space="preserve">through </w:t>
      </w:r>
      <w:r w:rsidR="00D27254">
        <w:rPr>
          <w:rFonts w:eastAsiaTheme="minorEastAsia"/>
        </w:rPr>
        <w:t xml:space="preserve">only a </w:t>
      </w:r>
      <w:r w:rsidR="00365CB9">
        <w:rPr>
          <w:rFonts w:eastAsiaTheme="minorEastAsia"/>
        </w:rPr>
        <w:t xml:space="preserve">limited set of connections. </w:t>
      </w:r>
      <w:r w:rsidR="00160EA2">
        <w:t xml:space="preserve">If we focus on relevant connections only, </w:t>
      </w:r>
      <w:r w:rsidR="00DD791A">
        <w:t>e.g.,</w:t>
      </w:r>
      <w:r w:rsidR="00160EA2">
        <w:t xml:space="preserve"> those with </w:t>
      </w:r>
      <m:oMath>
        <m:r>
          <w:rPr>
            <w:rFonts w:ascii="Cambria Math" w:hAnsi="Cambria Math"/>
          </w:rPr>
          <m:t>P</m:t>
        </m:r>
      </m:oMath>
      <w:r w:rsidR="00160EA2">
        <w:t xml:space="preserve"> over 10%</w:t>
      </w:r>
      <w:r w:rsidR="00647986">
        <w:t xml:space="preserve"> </w:t>
      </w:r>
      <w:r w:rsidR="00647986">
        <w:rPr>
          <w:rFonts w:eastAsia="Times New Roman"/>
        </w:rPr>
        <w:t xml:space="preserve">(or </w:t>
      </w:r>
      <m:oMath>
        <m:sSub>
          <m:sSubPr>
            <m:ctrlPr>
              <w:rPr>
                <w:rFonts w:ascii="Cambria Math" w:hAnsi="Cambria Math"/>
              </w:rPr>
            </m:ctrlPr>
          </m:sSubPr>
          <m:e>
            <m:r>
              <w:rPr>
                <w:rFonts w:ascii="Cambria Math" w:hAnsi="Cambria Math"/>
              </w:rPr>
              <m:t>d</m:t>
            </m:r>
          </m:e>
          <m:sub>
            <m:r>
              <w:rPr>
                <w:rFonts w:ascii="Cambria Math" w:hAnsi="Cambria Math"/>
              </w:rPr>
              <m:t>nm</m:t>
            </m:r>
          </m:sub>
        </m:sSub>
      </m:oMath>
      <w:r w:rsidR="00647986">
        <w:rPr>
          <w:rFonts w:eastAsia="Times New Roman"/>
        </w:rPr>
        <w:t xml:space="preserve"> &lt; 3.10)</w:t>
      </w:r>
      <w:r w:rsidR="00160EA2">
        <w:t>, only 137 out of 2264 (6%) present connections arise</w:t>
      </w:r>
      <w:bookmarkEnd w:id="1"/>
      <w:bookmarkEnd w:id="4"/>
      <w:r w:rsidR="0077268A">
        <w:t>.</w:t>
      </w:r>
      <w:r w:rsidR="00DD791A">
        <w:t xml:space="preserve"> Therefore, </w:t>
      </w:r>
      <w:r w:rsidR="00E677AA">
        <w:t xml:space="preserve">to define </w:t>
      </w:r>
      <w:r w:rsidR="008A49B6">
        <w:t xml:space="preserve">a network model for studying geographical diffusion, </w:t>
      </w:r>
      <w:r w:rsidR="001D16B5">
        <w:t xml:space="preserve">only </w:t>
      </w:r>
      <w:r w:rsidR="000D6741">
        <w:t xml:space="preserve">provinces </w:t>
      </w:r>
      <w:r w:rsidR="001D16B5">
        <w:t>connected by</w:t>
      </w:r>
      <w:r w:rsidR="000D6741">
        <w:t xml:space="preserve"> percentage of at least 10% of total </w:t>
      </w:r>
      <w:r w:rsidR="001D16B5">
        <w:t xml:space="preserve">travelers were considered. The connection can exist </w:t>
      </w:r>
      <w:r w:rsidR="00760511">
        <w:t>only in one direction or</w:t>
      </w:r>
      <w:r w:rsidR="00347C16">
        <w:t xml:space="preserve"> its</w:t>
      </w:r>
      <w:r w:rsidR="00760511">
        <w:t xml:space="preserve"> reciprocal</w:t>
      </w:r>
      <w:r w:rsidR="000A1161">
        <w:t xml:space="preserve"> and the effective distance acts as the connection weight, pondering the relationships. </w:t>
      </w:r>
      <w:r w:rsidR="000D49EA">
        <w:t>This defines our Epidemic Diffusion Network (EDN)</w:t>
      </w:r>
      <w:r w:rsidR="009A09AF">
        <w:t xml:space="preserve"> which we</w:t>
      </w:r>
      <w:r w:rsidR="002F0895">
        <w:t xml:space="preserve"> explore by means of network measures and communities, as explained in the main paper. </w:t>
      </w:r>
    </w:p>
    <w:p w14:paraId="2E349B80" w14:textId="77777777" w:rsidR="00F94685" w:rsidRDefault="00F94685">
      <w:r>
        <w:br w:type="page"/>
      </w:r>
    </w:p>
    <w:p w14:paraId="51BDD4BF" w14:textId="1E12E46D" w:rsidR="00F94685" w:rsidRPr="00F94685" w:rsidRDefault="00F94685" w:rsidP="00F94685">
      <w:pPr>
        <w:pStyle w:val="Ttulo3"/>
      </w:pPr>
      <w:bookmarkStart w:id="5" w:name="_Toc105580914"/>
      <w:r w:rsidRPr="00F94685">
        <w:lastRenderedPageBreak/>
        <w:t>Table S</w:t>
      </w:r>
      <w:r w:rsidR="00AD4B47">
        <w:t>2</w:t>
      </w:r>
      <w:r w:rsidRPr="00F94685">
        <w:t>. Epidemic Diffusion Network measures by province and community</w:t>
      </w:r>
      <w:bookmarkEnd w:id="5"/>
      <w:r>
        <w:br/>
      </w:r>
    </w:p>
    <w:tbl>
      <w:tblPr>
        <w:tblStyle w:val="Tablaconcuadrcula"/>
        <w:tblW w:w="0" w:type="auto"/>
        <w:tblLook w:val="04A0" w:firstRow="1" w:lastRow="0" w:firstColumn="1" w:lastColumn="0" w:noHBand="0" w:noVBand="1"/>
      </w:tblPr>
      <w:tblGrid>
        <w:gridCol w:w="2048"/>
        <w:gridCol w:w="1200"/>
        <w:gridCol w:w="1200"/>
        <w:gridCol w:w="1483"/>
        <w:gridCol w:w="2380"/>
      </w:tblGrid>
      <w:tr w:rsidR="00F94685" w:rsidRPr="00816833" w14:paraId="609D1BBD" w14:textId="77777777" w:rsidTr="00B66500">
        <w:trPr>
          <w:trHeight w:val="300"/>
        </w:trPr>
        <w:tc>
          <w:tcPr>
            <w:tcW w:w="2048" w:type="dxa"/>
            <w:noWrap/>
            <w:vAlign w:val="center"/>
            <w:hideMark/>
          </w:tcPr>
          <w:p w14:paraId="18143B73" w14:textId="77777777" w:rsidR="00F94685" w:rsidRPr="00816833" w:rsidRDefault="00F94685" w:rsidP="00B66500">
            <w:pPr>
              <w:jc w:val="center"/>
              <w:rPr>
                <w:rFonts w:ascii="Times New Roman" w:hAnsi="Times New Roman" w:cs="Times New Roman"/>
                <w:b/>
                <w:bCs/>
              </w:rPr>
            </w:pPr>
            <w:r w:rsidRPr="00816833">
              <w:rPr>
                <w:rFonts w:ascii="Times New Roman" w:hAnsi="Times New Roman" w:cs="Times New Roman"/>
                <w:b/>
                <w:bCs/>
              </w:rPr>
              <w:t>Province</w:t>
            </w:r>
          </w:p>
        </w:tc>
        <w:tc>
          <w:tcPr>
            <w:tcW w:w="1200" w:type="dxa"/>
            <w:noWrap/>
            <w:vAlign w:val="center"/>
            <w:hideMark/>
          </w:tcPr>
          <w:p w14:paraId="5B3961B3" w14:textId="77777777" w:rsidR="00F94685" w:rsidRPr="00816833" w:rsidRDefault="00F94685" w:rsidP="00B66500">
            <w:pPr>
              <w:jc w:val="center"/>
              <w:rPr>
                <w:rFonts w:ascii="Times New Roman" w:hAnsi="Times New Roman" w:cs="Times New Roman"/>
                <w:b/>
                <w:bCs/>
              </w:rPr>
            </w:pPr>
            <w:r w:rsidRPr="00816833">
              <w:rPr>
                <w:rFonts w:ascii="Times New Roman" w:hAnsi="Times New Roman" w:cs="Times New Roman"/>
                <w:b/>
                <w:bCs/>
              </w:rPr>
              <w:t>Degree</w:t>
            </w:r>
          </w:p>
        </w:tc>
        <w:tc>
          <w:tcPr>
            <w:tcW w:w="1200" w:type="dxa"/>
            <w:noWrap/>
            <w:vAlign w:val="center"/>
            <w:hideMark/>
          </w:tcPr>
          <w:p w14:paraId="4365EF56" w14:textId="77777777" w:rsidR="00F94685" w:rsidRPr="00816833" w:rsidRDefault="00F94685" w:rsidP="00B66500">
            <w:pPr>
              <w:jc w:val="center"/>
              <w:rPr>
                <w:rFonts w:ascii="Times New Roman" w:hAnsi="Times New Roman" w:cs="Times New Roman"/>
                <w:b/>
                <w:bCs/>
              </w:rPr>
            </w:pPr>
            <w:r w:rsidRPr="00816833">
              <w:rPr>
                <w:rFonts w:ascii="Times New Roman" w:hAnsi="Times New Roman" w:cs="Times New Roman"/>
                <w:b/>
                <w:bCs/>
              </w:rPr>
              <w:t>Strength</w:t>
            </w:r>
          </w:p>
        </w:tc>
        <w:tc>
          <w:tcPr>
            <w:tcW w:w="1218" w:type="dxa"/>
            <w:noWrap/>
            <w:vAlign w:val="center"/>
            <w:hideMark/>
          </w:tcPr>
          <w:p w14:paraId="389B91E1" w14:textId="77777777" w:rsidR="00F94685" w:rsidRPr="00816833" w:rsidRDefault="00F94685" w:rsidP="00B66500">
            <w:pPr>
              <w:jc w:val="center"/>
              <w:rPr>
                <w:rFonts w:ascii="Times New Roman" w:hAnsi="Times New Roman" w:cs="Times New Roman"/>
                <w:b/>
                <w:bCs/>
              </w:rPr>
            </w:pPr>
            <w:r w:rsidRPr="00816833">
              <w:rPr>
                <w:rFonts w:ascii="Times New Roman" w:hAnsi="Times New Roman" w:cs="Times New Roman"/>
                <w:b/>
                <w:bCs/>
              </w:rPr>
              <w:t>Flow betweenness</w:t>
            </w:r>
          </w:p>
        </w:tc>
        <w:tc>
          <w:tcPr>
            <w:tcW w:w="2380" w:type="dxa"/>
            <w:noWrap/>
            <w:vAlign w:val="center"/>
            <w:hideMark/>
          </w:tcPr>
          <w:p w14:paraId="43384432" w14:textId="77777777" w:rsidR="00F94685" w:rsidRPr="00816833" w:rsidRDefault="00F94685" w:rsidP="00B66500">
            <w:pPr>
              <w:jc w:val="center"/>
              <w:rPr>
                <w:rFonts w:ascii="Times New Roman" w:hAnsi="Times New Roman" w:cs="Times New Roman"/>
                <w:b/>
                <w:bCs/>
              </w:rPr>
            </w:pPr>
            <w:r w:rsidRPr="00816833">
              <w:rPr>
                <w:rFonts w:ascii="Times New Roman" w:hAnsi="Times New Roman" w:cs="Times New Roman"/>
                <w:b/>
                <w:bCs/>
              </w:rPr>
              <w:t>Community</w:t>
            </w:r>
          </w:p>
        </w:tc>
      </w:tr>
      <w:tr w:rsidR="00F94685" w:rsidRPr="00816833" w14:paraId="3474A4C8" w14:textId="77777777" w:rsidTr="00B66500">
        <w:trPr>
          <w:trHeight w:val="300"/>
        </w:trPr>
        <w:tc>
          <w:tcPr>
            <w:tcW w:w="2048" w:type="dxa"/>
            <w:noWrap/>
            <w:vAlign w:val="center"/>
            <w:hideMark/>
          </w:tcPr>
          <w:p w14:paraId="063DF8E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Madrid</w:t>
            </w:r>
          </w:p>
        </w:tc>
        <w:tc>
          <w:tcPr>
            <w:tcW w:w="1200" w:type="dxa"/>
            <w:noWrap/>
            <w:vAlign w:val="center"/>
            <w:hideMark/>
          </w:tcPr>
          <w:p w14:paraId="128193B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11</w:t>
            </w:r>
          </w:p>
        </w:tc>
        <w:tc>
          <w:tcPr>
            <w:tcW w:w="1200" w:type="dxa"/>
            <w:noWrap/>
            <w:vAlign w:val="center"/>
            <w:hideMark/>
          </w:tcPr>
          <w:p w14:paraId="100C0A3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25,6</w:t>
            </w:r>
          </w:p>
        </w:tc>
        <w:tc>
          <w:tcPr>
            <w:tcW w:w="1218" w:type="dxa"/>
            <w:noWrap/>
            <w:vAlign w:val="center"/>
            <w:hideMark/>
          </w:tcPr>
          <w:p w14:paraId="38F02E0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65</w:t>
            </w:r>
          </w:p>
        </w:tc>
        <w:tc>
          <w:tcPr>
            <w:tcW w:w="2380" w:type="dxa"/>
            <w:noWrap/>
            <w:vAlign w:val="center"/>
            <w:hideMark/>
          </w:tcPr>
          <w:p w14:paraId="7121B04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0A5D1BF4" w14:textId="77777777" w:rsidTr="00B66500">
        <w:trPr>
          <w:trHeight w:val="300"/>
        </w:trPr>
        <w:tc>
          <w:tcPr>
            <w:tcW w:w="2048" w:type="dxa"/>
            <w:noWrap/>
            <w:vAlign w:val="center"/>
            <w:hideMark/>
          </w:tcPr>
          <w:p w14:paraId="79E2526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Valladolid</w:t>
            </w:r>
          </w:p>
        </w:tc>
        <w:tc>
          <w:tcPr>
            <w:tcW w:w="1200" w:type="dxa"/>
            <w:noWrap/>
            <w:vAlign w:val="center"/>
            <w:hideMark/>
          </w:tcPr>
          <w:p w14:paraId="7A808A7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9</w:t>
            </w:r>
          </w:p>
        </w:tc>
        <w:tc>
          <w:tcPr>
            <w:tcW w:w="1200" w:type="dxa"/>
            <w:noWrap/>
            <w:vAlign w:val="center"/>
            <w:hideMark/>
          </w:tcPr>
          <w:p w14:paraId="304CEF0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24,2</w:t>
            </w:r>
          </w:p>
        </w:tc>
        <w:tc>
          <w:tcPr>
            <w:tcW w:w="1218" w:type="dxa"/>
            <w:noWrap/>
            <w:vAlign w:val="center"/>
            <w:hideMark/>
          </w:tcPr>
          <w:p w14:paraId="127B3D8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259</w:t>
            </w:r>
          </w:p>
        </w:tc>
        <w:tc>
          <w:tcPr>
            <w:tcW w:w="2380" w:type="dxa"/>
            <w:noWrap/>
            <w:vAlign w:val="center"/>
            <w:hideMark/>
          </w:tcPr>
          <w:p w14:paraId="1CF5522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4AD57E6D" w14:textId="77777777" w:rsidTr="00B66500">
        <w:trPr>
          <w:trHeight w:val="300"/>
        </w:trPr>
        <w:tc>
          <w:tcPr>
            <w:tcW w:w="2048" w:type="dxa"/>
            <w:noWrap/>
            <w:vAlign w:val="center"/>
            <w:hideMark/>
          </w:tcPr>
          <w:p w14:paraId="3106103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Araba/</w:t>
            </w:r>
            <w:proofErr w:type="spellStart"/>
            <w:r w:rsidRPr="00816833">
              <w:rPr>
                <w:rFonts w:ascii="Times New Roman" w:hAnsi="Times New Roman" w:cs="Times New Roman"/>
                <w:sz w:val="20"/>
                <w:szCs w:val="20"/>
              </w:rPr>
              <w:t>Álava</w:t>
            </w:r>
            <w:proofErr w:type="spellEnd"/>
          </w:p>
        </w:tc>
        <w:tc>
          <w:tcPr>
            <w:tcW w:w="1200" w:type="dxa"/>
            <w:noWrap/>
            <w:vAlign w:val="center"/>
            <w:hideMark/>
          </w:tcPr>
          <w:p w14:paraId="50A81C9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w:t>
            </w:r>
          </w:p>
        </w:tc>
        <w:tc>
          <w:tcPr>
            <w:tcW w:w="1200" w:type="dxa"/>
            <w:noWrap/>
            <w:vAlign w:val="center"/>
            <w:hideMark/>
          </w:tcPr>
          <w:p w14:paraId="5C5E93B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20,2</w:t>
            </w:r>
          </w:p>
        </w:tc>
        <w:tc>
          <w:tcPr>
            <w:tcW w:w="1218" w:type="dxa"/>
            <w:noWrap/>
            <w:vAlign w:val="center"/>
            <w:hideMark/>
          </w:tcPr>
          <w:p w14:paraId="3354D34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140</w:t>
            </w:r>
          </w:p>
        </w:tc>
        <w:tc>
          <w:tcPr>
            <w:tcW w:w="2380" w:type="dxa"/>
            <w:noWrap/>
            <w:vAlign w:val="center"/>
            <w:hideMark/>
          </w:tcPr>
          <w:p w14:paraId="583A2CC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 community</w:t>
            </w:r>
          </w:p>
        </w:tc>
      </w:tr>
      <w:tr w:rsidR="00F94685" w:rsidRPr="00816833" w14:paraId="43FC1D84" w14:textId="77777777" w:rsidTr="00B66500">
        <w:trPr>
          <w:trHeight w:val="300"/>
        </w:trPr>
        <w:tc>
          <w:tcPr>
            <w:tcW w:w="2048" w:type="dxa"/>
            <w:noWrap/>
            <w:vAlign w:val="center"/>
            <w:hideMark/>
          </w:tcPr>
          <w:p w14:paraId="7B60002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Málaga</w:t>
            </w:r>
          </w:p>
        </w:tc>
        <w:tc>
          <w:tcPr>
            <w:tcW w:w="1200" w:type="dxa"/>
            <w:noWrap/>
            <w:vAlign w:val="center"/>
            <w:hideMark/>
          </w:tcPr>
          <w:p w14:paraId="2CF2A8D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w:t>
            </w:r>
          </w:p>
        </w:tc>
        <w:tc>
          <w:tcPr>
            <w:tcW w:w="1200" w:type="dxa"/>
            <w:noWrap/>
            <w:vAlign w:val="center"/>
            <w:hideMark/>
          </w:tcPr>
          <w:p w14:paraId="7445184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19,3</w:t>
            </w:r>
          </w:p>
        </w:tc>
        <w:tc>
          <w:tcPr>
            <w:tcW w:w="1218" w:type="dxa"/>
            <w:noWrap/>
            <w:vAlign w:val="center"/>
            <w:hideMark/>
          </w:tcPr>
          <w:p w14:paraId="19C033A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64</w:t>
            </w:r>
          </w:p>
        </w:tc>
        <w:tc>
          <w:tcPr>
            <w:tcW w:w="2380" w:type="dxa"/>
            <w:noWrap/>
            <w:vAlign w:val="center"/>
            <w:hideMark/>
          </w:tcPr>
          <w:p w14:paraId="7D8A76C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3ECC8516" w14:textId="77777777" w:rsidTr="00B66500">
        <w:trPr>
          <w:trHeight w:val="300"/>
        </w:trPr>
        <w:tc>
          <w:tcPr>
            <w:tcW w:w="2048" w:type="dxa"/>
            <w:noWrap/>
            <w:vAlign w:val="center"/>
            <w:hideMark/>
          </w:tcPr>
          <w:p w14:paraId="3A052DC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Sevilla</w:t>
            </w:r>
          </w:p>
        </w:tc>
        <w:tc>
          <w:tcPr>
            <w:tcW w:w="1200" w:type="dxa"/>
            <w:noWrap/>
            <w:vAlign w:val="center"/>
            <w:hideMark/>
          </w:tcPr>
          <w:p w14:paraId="73BA7A3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w:t>
            </w:r>
          </w:p>
        </w:tc>
        <w:tc>
          <w:tcPr>
            <w:tcW w:w="1200" w:type="dxa"/>
            <w:noWrap/>
            <w:vAlign w:val="center"/>
            <w:hideMark/>
          </w:tcPr>
          <w:p w14:paraId="53F090E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18</w:t>
            </w:r>
          </w:p>
        </w:tc>
        <w:tc>
          <w:tcPr>
            <w:tcW w:w="1218" w:type="dxa"/>
            <w:noWrap/>
            <w:vAlign w:val="center"/>
            <w:hideMark/>
          </w:tcPr>
          <w:p w14:paraId="4EF331C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1231</w:t>
            </w:r>
          </w:p>
        </w:tc>
        <w:tc>
          <w:tcPr>
            <w:tcW w:w="2380" w:type="dxa"/>
            <w:noWrap/>
            <w:vAlign w:val="center"/>
            <w:hideMark/>
          </w:tcPr>
          <w:p w14:paraId="62C8720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2FDBFE2E" w14:textId="77777777" w:rsidTr="00B66500">
        <w:trPr>
          <w:trHeight w:val="300"/>
        </w:trPr>
        <w:tc>
          <w:tcPr>
            <w:tcW w:w="2048" w:type="dxa"/>
            <w:noWrap/>
            <w:vAlign w:val="center"/>
            <w:hideMark/>
          </w:tcPr>
          <w:p w14:paraId="471A7C7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Valencia/</w:t>
            </w:r>
            <w:proofErr w:type="spellStart"/>
            <w:r w:rsidRPr="00816833">
              <w:rPr>
                <w:rFonts w:ascii="Times New Roman" w:hAnsi="Times New Roman" w:cs="Times New Roman"/>
                <w:sz w:val="20"/>
                <w:szCs w:val="20"/>
              </w:rPr>
              <w:t>València</w:t>
            </w:r>
            <w:proofErr w:type="spellEnd"/>
          </w:p>
        </w:tc>
        <w:tc>
          <w:tcPr>
            <w:tcW w:w="1200" w:type="dxa"/>
            <w:noWrap/>
            <w:vAlign w:val="center"/>
            <w:hideMark/>
          </w:tcPr>
          <w:p w14:paraId="5E25315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w:t>
            </w:r>
          </w:p>
        </w:tc>
        <w:tc>
          <w:tcPr>
            <w:tcW w:w="1200" w:type="dxa"/>
            <w:noWrap/>
            <w:vAlign w:val="center"/>
            <w:hideMark/>
          </w:tcPr>
          <w:p w14:paraId="53E320E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19,3</w:t>
            </w:r>
          </w:p>
        </w:tc>
        <w:tc>
          <w:tcPr>
            <w:tcW w:w="1218" w:type="dxa"/>
            <w:noWrap/>
            <w:vAlign w:val="center"/>
            <w:hideMark/>
          </w:tcPr>
          <w:p w14:paraId="4B7274F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840</w:t>
            </w:r>
          </w:p>
        </w:tc>
        <w:tc>
          <w:tcPr>
            <w:tcW w:w="2380" w:type="dxa"/>
            <w:noWrap/>
            <w:vAlign w:val="center"/>
            <w:hideMark/>
          </w:tcPr>
          <w:p w14:paraId="00FE1E4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0B040021" w14:textId="77777777" w:rsidTr="00B66500">
        <w:trPr>
          <w:trHeight w:val="300"/>
        </w:trPr>
        <w:tc>
          <w:tcPr>
            <w:tcW w:w="2048" w:type="dxa"/>
            <w:noWrap/>
            <w:vAlign w:val="center"/>
            <w:hideMark/>
          </w:tcPr>
          <w:p w14:paraId="25B2FEA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Albacete</w:t>
            </w:r>
          </w:p>
        </w:tc>
        <w:tc>
          <w:tcPr>
            <w:tcW w:w="1200" w:type="dxa"/>
            <w:noWrap/>
            <w:vAlign w:val="center"/>
            <w:hideMark/>
          </w:tcPr>
          <w:p w14:paraId="5EDF5C9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w:t>
            </w:r>
          </w:p>
        </w:tc>
        <w:tc>
          <w:tcPr>
            <w:tcW w:w="1200" w:type="dxa"/>
            <w:noWrap/>
            <w:vAlign w:val="center"/>
            <w:hideMark/>
          </w:tcPr>
          <w:p w14:paraId="39F0C75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19,2</w:t>
            </w:r>
          </w:p>
        </w:tc>
        <w:tc>
          <w:tcPr>
            <w:tcW w:w="1218" w:type="dxa"/>
            <w:noWrap/>
            <w:vAlign w:val="center"/>
            <w:hideMark/>
          </w:tcPr>
          <w:p w14:paraId="651D388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52</w:t>
            </w:r>
          </w:p>
        </w:tc>
        <w:tc>
          <w:tcPr>
            <w:tcW w:w="2380" w:type="dxa"/>
            <w:noWrap/>
            <w:vAlign w:val="center"/>
            <w:hideMark/>
          </w:tcPr>
          <w:p w14:paraId="2D0DF1D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302DB636" w14:textId="77777777" w:rsidTr="00B66500">
        <w:trPr>
          <w:trHeight w:val="300"/>
        </w:trPr>
        <w:tc>
          <w:tcPr>
            <w:tcW w:w="2048" w:type="dxa"/>
            <w:noWrap/>
            <w:vAlign w:val="center"/>
            <w:hideMark/>
          </w:tcPr>
          <w:p w14:paraId="3385B3D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Ávila</w:t>
            </w:r>
          </w:p>
        </w:tc>
        <w:tc>
          <w:tcPr>
            <w:tcW w:w="1200" w:type="dxa"/>
            <w:noWrap/>
            <w:vAlign w:val="center"/>
            <w:hideMark/>
          </w:tcPr>
          <w:p w14:paraId="2B517F1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w:t>
            </w:r>
          </w:p>
        </w:tc>
        <w:tc>
          <w:tcPr>
            <w:tcW w:w="1200" w:type="dxa"/>
            <w:noWrap/>
            <w:vAlign w:val="center"/>
            <w:hideMark/>
          </w:tcPr>
          <w:p w14:paraId="7084BD5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19,9</w:t>
            </w:r>
          </w:p>
        </w:tc>
        <w:tc>
          <w:tcPr>
            <w:tcW w:w="1218" w:type="dxa"/>
            <w:noWrap/>
            <w:vAlign w:val="center"/>
            <w:hideMark/>
          </w:tcPr>
          <w:p w14:paraId="2F5F95D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76</w:t>
            </w:r>
          </w:p>
        </w:tc>
        <w:tc>
          <w:tcPr>
            <w:tcW w:w="2380" w:type="dxa"/>
            <w:noWrap/>
            <w:vAlign w:val="center"/>
            <w:hideMark/>
          </w:tcPr>
          <w:p w14:paraId="0104CCB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57721A81" w14:textId="77777777" w:rsidTr="00B66500">
        <w:trPr>
          <w:trHeight w:val="300"/>
        </w:trPr>
        <w:tc>
          <w:tcPr>
            <w:tcW w:w="2048" w:type="dxa"/>
            <w:noWrap/>
            <w:vAlign w:val="center"/>
            <w:hideMark/>
          </w:tcPr>
          <w:p w14:paraId="64B3FE8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León</w:t>
            </w:r>
          </w:p>
        </w:tc>
        <w:tc>
          <w:tcPr>
            <w:tcW w:w="1200" w:type="dxa"/>
            <w:noWrap/>
            <w:vAlign w:val="center"/>
            <w:hideMark/>
          </w:tcPr>
          <w:p w14:paraId="683835E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w:t>
            </w:r>
          </w:p>
        </w:tc>
        <w:tc>
          <w:tcPr>
            <w:tcW w:w="1200" w:type="dxa"/>
            <w:noWrap/>
            <w:vAlign w:val="center"/>
            <w:hideMark/>
          </w:tcPr>
          <w:p w14:paraId="4F78D18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20,1</w:t>
            </w:r>
          </w:p>
        </w:tc>
        <w:tc>
          <w:tcPr>
            <w:tcW w:w="1218" w:type="dxa"/>
            <w:noWrap/>
            <w:vAlign w:val="center"/>
            <w:hideMark/>
          </w:tcPr>
          <w:p w14:paraId="690C315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553</w:t>
            </w:r>
          </w:p>
        </w:tc>
        <w:tc>
          <w:tcPr>
            <w:tcW w:w="2380" w:type="dxa"/>
            <w:noWrap/>
            <w:vAlign w:val="center"/>
            <w:hideMark/>
          </w:tcPr>
          <w:p w14:paraId="13CDC10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3ACB1CC4" w14:textId="77777777" w:rsidTr="00B66500">
        <w:trPr>
          <w:trHeight w:val="300"/>
        </w:trPr>
        <w:tc>
          <w:tcPr>
            <w:tcW w:w="2048" w:type="dxa"/>
            <w:noWrap/>
            <w:vAlign w:val="center"/>
            <w:hideMark/>
          </w:tcPr>
          <w:p w14:paraId="4F6FAA3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Salamanca</w:t>
            </w:r>
          </w:p>
        </w:tc>
        <w:tc>
          <w:tcPr>
            <w:tcW w:w="1200" w:type="dxa"/>
            <w:noWrap/>
            <w:vAlign w:val="center"/>
            <w:hideMark/>
          </w:tcPr>
          <w:p w14:paraId="09E1FAA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w:t>
            </w:r>
          </w:p>
        </w:tc>
        <w:tc>
          <w:tcPr>
            <w:tcW w:w="1200" w:type="dxa"/>
            <w:noWrap/>
            <w:vAlign w:val="center"/>
            <w:hideMark/>
          </w:tcPr>
          <w:p w14:paraId="3D59265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19,3</w:t>
            </w:r>
          </w:p>
        </w:tc>
        <w:tc>
          <w:tcPr>
            <w:tcW w:w="1218" w:type="dxa"/>
            <w:noWrap/>
            <w:vAlign w:val="center"/>
            <w:hideMark/>
          </w:tcPr>
          <w:p w14:paraId="201FC8D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1155</w:t>
            </w:r>
          </w:p>
        </w:tc>
        <w:tc>
          <w:tcPr>
            <w:tcW w:w="2380" w:type="dxa"/>
            <w:noWrap/>
            <w:vAlign w:val="center"/>
            <w:hideMark/>
          </w:tcPr>
          <w:p w14:paraId="7E69C58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18F88392" w14:textId="77777777" w:rsidTr="00B66500">
        <w:trPr>
          <w:trHeight w:val="300"/>
        </w:trPr>
        <w:tc>
          <w:tcPr>
            <w:tcW w:w="2048" w:type="dxa"/>
            <w:noWrap/>
            <w:vAlign w:val="center"/>
            <w:hideMark/>
          </w:tcPr>
          <w:p w14:paraId="1D1B4D8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Bizkaia</w:t>
            </w:r>
          </w:p>
        </w:tc>
        <w:tc>
          <w:tcPr>
            <w:tcW w:w="1200" w:type="dxa"/>
            <w:noWrap/>
            <w:vAlign w:val="center"/>
            <w:hideMark/>
          </w:tcPr>
          <w:p w14:paraId="3B79914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w:t>
            </w:r>
          </w:p>
        </w:tc>
        <w:tc>
          <w:tcPr>
            <w:tcW w:w="1200" w:type="dxa"/>
            <w:noWrap/>
            <w:vAlign w:val="center"/>
            <w:hideMark/>
          </w:tcPr>
          <w:p w14:paraId="41C71FD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15,6</w:t>
            </w:r>
          </w:p>
        </w:tc>
        <w:tc>
          <w:tcPr>
            <w:tcW w:w="1218" w:type="dxa"/>
            <w:noWrap/>
            <w:vAlign w:val="center"/>
            <w:hideMark/>
          </w:tcPr>
          <w:p w14:paraId="0F1D6D2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385</w:t>
            </w:r>
          </w:p>
        </w:tc>
        <w:tc>
          <w:tcPr>
            <w:tcW w:w="2380" w:type="dxa"/>
            <w:noWrap/>
            <w:vAlign w:val="center"/>
            <w:hideMark/>
          </w:tcPr>
          <w:p w14:paraId="76F10FD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 community</w:t>
            </w:r>
          </w:p>
        </w:tc>
      </w:tr>
      <w:tr w:rsidR="00F94685" w:rsidRPr="00816833" w14:paraId="42815152" w14:textId="77777777" w:rsidTr="00B66500">
        <w:trPr>
          <w:trHeight w:val="300"/>
        </w:trPr>
        <w:tc>
          <w:tcPr>
            <w:tcW w:w="2048" w:type="dxa"/>
            <w:noWrap/>
            <w:vAlign w:val="center"/>
            <w:hideMark/>
          </w:tcPr>
          <w:p w14:paraId="10DC25D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Zaragoza</w:t>
            </w:r>
          </w:p>
        </w:tc>
        <w:tc>
          <w:tcPr>
            <w:tcW w:w="1200" w:type="dxa"/>
            <w:noWrap/>
            <w:vAlign w:val="center"/>
            <w:hideMark/>
          </w:tcPr>
          <w:p w14:paraId="68A3C27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w:t>
            </w:r>
          </w:p>
        </w:tc>
        <w:tc>
          <w:tcPr>
            <w:tcW w:w="1200" w:type="dxa"/>
            <w:noWrap/>
            <w:vAlign w:val="center"/>
            <w:hideMark/>
          </w:tcPr>
          <w:p w14:paraId="6D67BBD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17</w:t>
            </w:r>
          </w:p>
        </w:tc>
        <w:tc>
          <w:tcPr>
            <w:tcW w:w="1218" w:type="dxa"/>
            <w:noWrap/>
            <w:vAlign w:val="center"/>
            <w:hideMark/>
          </w:tcPr>
          <w:p w14:paraId="3F9D65C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797</w:t>
            </w:r>
          </w:p>
        </w:tc>
        <w:tc>
          <w:tcPr>
            <w:tcW w:w="2380" w:type="dxa"/>
            <w:noWrap/>
            <w:vAlign w:val="center"/>
            <w:hideMark/>
          </w:tcPr>
          <w:p w14:paraId="1456016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4BD08551" w14:textId="77777777" w:rsidTr="00B66500">
        <w:trPr>
          <w:trHeight w:val="300"/>
        </w:trPr>
        <w:tc>
          <w:tcPr>
            <w:tcW w:w="2048" w:type="dxa"/>
            <w:noWrap/>
            <w:vAlign w:val="center"/>
            <w:hideMark/>
          </w:tcPr>
          <w:p w14:paraId="76197C6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Barcelona</w:t>
            </w:r>
          </w:p>
        </w:tc>
        <w:tc>
          <w:tcPr>
            <w:tcW w:w="1200" w:type="dxa"/>
            <w:noWrap/>
            <w:vAlign w:val="center"/>
            <w:hideMark/>
          </w:tcPr>
          <w:p w14:paraId="4AC6251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2E8949C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10,6</w:t>
            </w:r>
          </w:p>
        </w:tc>
        <w:tc>
          <w:tcPr>
            <w:tcW w:w="1218" w:type="dxa"/>
            <w:noWrap/>
            <w:vAlign w:val="center"/>
            <w:hideMark/>
          </w:tcPr>
          <w:p w14:paraId="63E13FF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90</w:t>
            </w:r>
          </w:p>
        </w:tc>
        <w:tc>
          <w:tcPr>
            <w:tcW w:w="2380" w:type="dxa"/>
            <w:noWrap/>
            <w:vAlign w:val="center"/>
            <w:hideMark/>
          </w:tcPr>
          <w:p w14:paraId="5361038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222159F6" w14:textId="77777777" w:rsidTr="00B66500">
        <w:trPr>
          <w:trHeight w:val="300"/>
        </w:trPr>
        <w:tc>
          <w:tcPr>
            <w:tcW w:w="2048" w:type="dxa"/>
            <w:noWrap/>
            <w:vAlign w:val="center"/>
            <w:hideMark/>
          </w:tcPr>
          <w:p w14:paraId="19974E4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Córdoba</w:t>
            </w:r>
          </w:p>
        </w:tc>
        <w:tc>
          <w:tcPr>
            <w:tcW w:w="1200" w:type="dxa"/>
            <w:noWrap/>
            <w:vAlign w:val="center"/>
            <w:hideMark/>
          </w:tcPr>
          <w:p w14:paraId="5CA2586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5B25344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15</w:t>
            </w:r>
          </w:p>
        </w:tc>
        <w:tc>
          <w:tcPr>
            <w:tcW w:w="1218" w:type="dxa"/>
            <w:noWrap/>
            <w:vAlign w:val="center"/>
            <w:hideMark/>
          </w:tcPr>
          <w:p w14:paraId="3D52E2E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50</w:t>
            </w:r>
          </w:p>
        </w:tc>
        <w:tc>
          <w:tcPr>
            <w:tcW w:w="2380" w:type="dxa"/>
            <w:noWrap/>
            <w:vAlign w:val="center"/>
            <w:hideMark/>
          </w:tcPr>
          <w:p w14:paraId="2FD8903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7B8BEF2D" w14:textId="77777777" w:rsidTr="00B66500">
        <w:trPr>
          <w:trHeight w:val="300"/>
        </w:trPr>
        <w:tc>
          <w:tcPr>
            <w:tcW w:w="2048" w:type="dxa"/>
            <w:noWrap/>
            <w:vAlign w:val="center"/>
            <w:hideMark/>
          </w:tcPr>
          <w:p w14:paraId="7484ECE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Granada</w:t>
            </w:r>
          </w:p>
        </w:tc>
        <w:tc>
          <w:tcPr>
            <w:tcW w:w="1200" w:type="dxa"/>
            <w:noWrap/>
            <w:vAlign w:val="center"/>
            <w:hideMark/>
          </w:tcPr>
          <w:p w14:paraId="2A8094F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21E05D3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14,2</w:t>
            </w:r>
          </w:p>
        </w:tc>
        <w:tc>
          <w:tcPr>
            <w:tcW w:w="1218" w:type="dxa"/>
            <w:noWrap/>
            <w:vAlign w:val="center"/>
            <w:hideMark/>
          </w:tcPr>
          <w:p w14:paraId="3763EBE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1057</w:t>
            </w:r>
          </w:p>
        </w:tc>
        <w:tc>
          <w:tcPr>
            <w:tcW w:w="2380" w:type="dxa"/>
            <w:noWrap/>
            <w:vAlign w:val="center"/>
            <w:hideMark/>
          </w:tcPr>
          <w:p w14:paraId="0F5CF0B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421A9AB1" w14:textId="77777777" w:rsidTr="00B66500">
        <w:trPr>
          <w:trHeight w:val="300"/>
        </w:trPr>
        <w:tc>
          <w:tcPr>
            <w:tcW w:w="2048" w:type="dxa"/>
            <w:noWrap/>
            <w:vAlign w:val="center"/>
            <w:hideMark/>
          </w:tcPr>
          <w:p w14:paraId="426388D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Gipuzkoa</w:t>
            </w:r>
          </w:p>
        </w:tc>
        <w:tc>
          <w:tcPr>
            <w:tcW w:w="1200" w:type="dxa"/>
            <w:noWrap/>
            <w:vAlign w:val="center"/>
            <w:hideMark/>
          </w:tcPr>
          <w:p w14:paraId="7F862EF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59C4D22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15,5</w:t>
            </w:r>
          </w:p>
        </w:tc>
        <w:tc>
          <w:tcPr>
            <w:tcW w:w="1218" w:type="dxa"/>
            <w:noWrap/>
            <w:vAlign w:val="center"/>
            <w:hideMark/>
          </w:tcPr>
          <w:p w14:paraId="6EBE4DD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37</w:t>
            </w:r>
          </w:p>
        </w:tc>
        <w:tc>
          <w:tcPr>
            <w:tcW w:w="2380" w:type="dxa"/>
            <w:noWrap/>
            <w:vAlign w:val="center"/>
            <w:hideMark/>
          </w:tcPr>
          <w:p w14:paraId="15BE56F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 community</w:t>
            </w:r>
          </w:p>
        </w:tc>
      </w:tr>
      <w:tr w:rsidR="00F94685" w:rsidRPr="00816833" w14:paraId="5E4E4FD6" w14:textId="77777777" w:rsidTr="00B66500">
        <w:trPr>
          <w:trHeight w:val="300"/>
        </w:trPr>
        <w:tc>
          <w:tcPr>
            <w:tcW w:w="2048" w:type="dxa"/>
            <w:noWrap/>
            <w:vAlign w:val="center"/>
            <w:hideMark/>
          </w:tcPr>
          <w:p w14:paraId="11AD602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Lugo</w:t>
            </w:r>
          </w:p>
        </w:tc>
        <w:tc>
          <w:tcPr>
            <w:tcW w:w="1200" w:type="dxa"/>
            <w:noWrap/>
            <w:vAlign w:val="center"/>
            <w:hideMark/>
          </w:tcPr>
          <w:p w14:paraId="434E889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36D9F8B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14,1</w:t>
            </w:r>
          </w:p>
        </w:tc>
        <w:tc>
          <w:tcPr>
            <w:tcW w:w="1218" w:type="dxa"/>
            <w:noWrap/>
            <w:vAlign w:val="center"/>
            <w:hideMark/>
          </w:tcPr>
          <w:p w14:paraId="63268C3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166</w:t>
            </w:r>
          </w:p>
        </w:tc>
        <w:tc>
          <w:tcPr>
            <w:tcW w:w="2380" w:type="dxa"/>
            <w:noWrap/>
            <w:vAlign w:val="center"/>
            <w:hideMark/>
          </w:tcPr>
          <w:p w14:paraId="58DE2C1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Northwest community</w:t>
            </w:r>
          </w:p>
        </w:tc>
      </w:tr>
      <w:tr w:rsidR="00F94685" w:rsidRPr="00816833" w14:paraId="51F4DED9" w14:textId="77777777" w:rsidTr="00B66500">
        <w:trPr>
          <w:trHeight w:val="300"/>
        </w:trPr>
        <w:tc>
          <w:tcPr>
            <w:tcW w:w="2048" w:type="dxa"/>
            <w:noWrap/>
            <w:vAlign w:val="center"/>
            <w:hideMark/>
          </w:tcPr>
          <w:p w14:paraId="7D59AAA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Navarra</w:t>
            </w:r>
          </w:p>
        </w:tc>
        <w:tc>
          <w:tcPr>
            <w:tcW w:w="1200" w:type="dxa"/>
            <w:noWrap/>
            <w:vAlign w:val="center"/>
            <w:hideMark/>
          </w:tcPr>
          <w:p w14:paraId="73F456F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7FB9A95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14</w:t>
            </w:r>
          </w:p>
        </w:tc>
        <w:tc>
          <w:tcPr>
            <w:tcW w:w="1218" w:type="dxa"/>
            <w:noWrap/>
            <w:vAlign w:val="center"/>
            <w:hideMark/>
          </w:tcPr>
          <w:p w14:paraId="10A20D1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810</w:t>
            </w:r>
          </w:p>
        </w:tc>
        <w:tc>
          <w:tcPr>
            <w:tcW w:w="2380" w:type="dxa"/>
            <w:noWrap/>
            <w:vAlign w:val="center"/>
            <w:hideMark/>
          </w:tcPr>
          <w:p w14:paraId="33DD759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 community</w:t>
            </w:r>
          </w:p>
        </w:tc>
      </w:tr>
      <w:tr w:rsidR="00F94685" w:rsidRPr="00816833" w14:paraId="28CBAB0E" w14:textId="77777777" w:rsidTr="00B66500">
        <w:trPr>
          <w:trHeight w:val="300"/>
        </w:trPr>
        <w:tc>
          <w:tcPr>
            <w:tcW w:w="2048" w:type="dxa"/>
            <w:noWrap/>
            <w:vAlign w:val="center"/>
            <w:hideMark/>
          </w:tcPr>
          <w:p w14:paraId="3A15FF2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Ourense</w:t>
            </w:r>
          </w:p>
        </w:tc>
        <w:tc>
          <w:tcPr>
            <w:tcW w:w="1200" w:type="dxa"/>
            <w:noWrap/>
            <w:vAlign w:val="center"/>
            <w:hideMark/>
          </w:tcPr>
          <w:p w14:paraId="78E955B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2A8A980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15,9</w:t>
            </w:r>
          </w:p>
        </w:tc>
        <w:tc>
          <w:tcPr>
            <w:tcW w:w="1218" w:type="dxa"/>
            <w:noWrap/>
            <w:vAlign w:val="center"/>
            <w:hideMark/>
          </w:tcPr>
          <w:p w14:paraId="21F6840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166</w:t>
            </w:r>
          </w:p>
        </w:tc>
        <w:tc>
          <w:tcPr>
            <w:tcW w:w="2380" w:type="dxa"/>
            <w:noWrap/>
            <w:vAlign w:val="center"/>
            <w:hideMark/>
          </w:tcPr>
          <w:p w14:paraId="0933F1B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Northwest community</w:t>
            </w:r>
          </w:p>
        </w:tc>
      </w:tr>
      <w:tr w:rsidR="00F94685" w:rsidRPr="00816833" w14:paraId="2EA06888" w14:textId="77777777" w:rsidTr="00B66500">
        <w:trPr>
          <w:trHeight w:val="300"/>
        </w:trPr>
        <w:tc>
          <w:tcPr>
            <w:tcW w:w="2048" w:type="dxa"/>
            <w:noWrap/>
            <w:vAlign w:val="center"/>
            <w:hideMark/>
          </w:tcPr>
          <w:p w14:paraId="286E01D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Asturias</w:t>
            </w:r>
          </w:p>
        </w:tc>
        <w:tc>
          <w:tcPr>
            <w:tcW w:w="1200" w:type="dxa"/>
            <w:noWrap/>
            <w:vAlign w:val="center"/>
            <w:hideMark/>
          </w:tcPr>
          <w:p w14:paraId="1F487E9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3B2CAA7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15,6</w:t>
            </w:r>
          </w:p>
        </w:tc>
        <w:tc>
          <w:tcPr>
            <w:tcW w:w="1218" w:type="dxa"/>
            <w:noWrap/>
            <w:vAlign w:val="center"/>
            <w:hideMark/>
          </w:tcPr>
          <w:p w14:paraId="3B9461A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527</w:t>
            </w:r>
          </w:p>
        </w:tc>
        <w:tc>
          <w:tcPr>
            <w:tcW w:w="2380" w:type="dxa"/>
            <w:noWrap/>
            <w:vAlign w:val="center"/>
            <w:hideMark/>
          </w:tcPr>
          <w:p w14:paraId="46726BD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084E2665" w14:textId="77777777" w:rsidTr="00B66500">
        <w:trPr>
          <w:trHeight w:val="300"/>
        </w:trPr>
        <w:tc>
          <w:tcPr>
            <w:tcW w:w="2048" w:type="dxa"/>
            <w:noWrap/>
            <w:vAlign w:val="center"/>
            <w:hideMark/>
          </w:tcPr>
          <w:p w14:paraId="5AD6F72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Toledo</w:t>
            </w:r>
          </w:p>
        </w:tc>
        <w:tc>
          <w:tcPr>
            <w:tcW w:w="1200" w:type="dxa"/>
            <w:noWrap/>
            <w:vAlign w:val="center"/>
            <w:hideMark/>
          </w:tcPr>
          <w:p w14:paraId="03D58E6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32C403F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14,3</w:t>
            </w:r>
          </w:p>
        </w:tc>
        <w:tc>
          <w:tcPr>
            <w:tcW w:w="1218" w:type="dxa"/>
            <w:noWrap/>
            <w:vAlign w:val="center"/>
            <w:hideMark/>
          </w:tcPr>
          <w:p w14:paraId="24D8133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11</w:t>
            </w:r>
          </w:p>
        </w:tc>
        <w:tc>
          <w:tcPr>
            <w:tcW w:w="2380" w:type="dxa"/>
            <w:noWrap/>
            <w:vAlign w:val="center"/>
            <w:hideMark/>
          </w:tcPr>
          <w:p w14:paraId="1064DBB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1A0DA461" w14:textId="77777777" w:rsidTr="00B66500">
        <w:trPr>
          <w:trHeight w:val="300"/>
        </w:trPr>
        <w:tc>
          <w:tcPr>
            <w:tcW w:w="2048" w:type="dxa"/>
            <w:noWrap/>
            <w:vAlign w:val="center"/>
            <w:hideMark/>
          </w:tcPr>
          <w:p w14:paraId="3923B08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Zamora</w:t>
            </w:r>
          </w:p>
        </w:tc>
        <w:tc>
          <w:tcPr>
            <w:tcW w:w="1200" w:type="dxa"/>
            <w:noWrap/>
            <w:vAlign w:val="center"/>
            <w:hideMark/>
          </w:tcPr>
          <w:p w14:paraId="293821F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6</w:t>
            </w:r>
          </w:p>
        </w:tc>
        <w:tc>
          <w:tcPr>
            <w:tcW w:w="1200" w:type="dxa"/>
            <w:noWrap/>
            <w:vAlign w:val="center"/>
            <w:hideMark/>
          </w:tcPr>
          <w:p w14:paraId="697B719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15,4</w:t>
            </w:r>
          </w:p>
        </w:tc>
        <w:tc>
          <w:tcPr>
            <w:tcW w:w="1218" w:type="dxa"/>
            <w:noWrap/>
            <w:vAlign w:val="center"/>
            <w:hideMark/>
          </w:tcPr>
          <w:p w14:paraId="3FC1B9E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148</w:t>
            </w:r>
          </w:p>
        </w:tc>
        <w:tc>
          <w:tcPr>
            <w:tcW w:w="2380" w:type="dxa"/>
            <w:noWrap/>
            <w:vAlign w:val="center"/>
            <w:hideMark/>
          </w:tcPr>
          <w:p w14:paraId="060572B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4F4597C9" w14:textId="77777777" w:rsidTr="00B66500">
        <w:trPr>
          <w:trHeight w:val="300"/>
        </w:trPr>
        <w:tc>
          <w:tcPr>
            <w:tcW w:w="2048" w:type="dxa"/>
            <w:noWrap/>
            <w:vAlign w:val="center"/>
            <w:hideMark/>
          </w:tcPr>
          <w:p w14:paraId="1867D9E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Alicante/</w:t>
            </w:r>
            <w:proofErr w:type="spellStart"/>
            <w:r w:rsidRPr="00816833">
              <w:rPr>
                <w:rFonts w:ascii="Times New Roman" w:hAnsi="Times New Roman" w:cs="Times New Roman"/>
                <w:sz w:val="20"/>
                <w:szCs w:val="20"/>
              </w:rPr>
              <w:t>Alacant</w:t>
            </w:r>
            <w:proofErr w:type="spellEnd"/>
          </w:p>
        </w:tc>
        <w:tc>
          <w:tcPr>
            <w:tcW w:w="1200" w:type="dxa"/>
            <w:noWrap/>
            <w:vAlign w:val="center"/>
            <w:hideMark/>
          </w:tcPr>
          <w:p w14:paraId="63205E3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6BCC681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10,2</w:t>
            </w:r>
          </w:p>
        </w:tc>
        <w:tc>
          <w:tcPr>
            <w:tcW w:w="1218" w:type="dxa"/>
            <w:noWrap/>
            <w:vAlign w:val="center"/>
            <w:hideMark/>
          </w:tcPr>
          <w:p w14:paraId="1BC2D01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859</w:t>
            </w:r>
          </w:p>
        </w:tc>
        <w:tc>
          <w:tcPr>
            <w:tcW w:w="2380" w:type="dxa"/>
            <w:noWrap/>
            <w:vAlign w:val="center"/>
            <w:hideMark/>
          </w:tcPr>
          <w:p w14:paraId="1BB6CF9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30B0A1D3" w14:textId="77777777" w:rsidTr="00B66500">
        <w:trPr>
          <w:trHeight w:val="300"/>
        </w:trPr>
        <w:tc>
          <w:tcPr>
            <w:tcW w:w="2048" w:type="dxa"/>
            <w:noWrap/>
            <w:vAlign w:val="center"/>
            <w:hideMark/>
          </w:tcPr>
          <w:p w14:paraId="3BDCD70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Almería</w:t>
            </w:r>
          </w:p>
        </w:tc>
        <w:tc>
          <w:tcPr>
            <w:tcW w:w="1200" w:type="dxa"/>
            <w:noWrap/>
            <w:vAlign w:val="center"/>
            <w:hideMark/>
          </w:tcPr>
          <w:p w14:paraId="22312B2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5351B00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11,6</w:t>
            </w:r>
          </w:p>
        </w:tc>
        <w:tc>
          <w:tcPr>
            <w:tcW w:w="1218" w:type="dxa"/>
            <w:noWrap/>
            <w:vAlign w:val="center"/>
            <w:hideMark/>
          </w:tcPr>
          <w:p w14:paraId="7FDA676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1026</w:t>
            </w:r>
          </w:p>
        </w:tc>
        <w:tc>
          <w:tcPr>
            <w:tcW w:w="2380" w:type="dxa"/>
            <w:noWrap/>
            <w:vAlign w:val="center"/>
            <w:hideMark/>
          </w:tcPr>
          <w:p w14:paraId="78BE1EC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721EDCF7" w14:textId="77777777" w:rsidTr="00B66500">
        <w:trPr>
          <w:trHeight w:val="300"/>
        </w:trPr>
        <w:tc>
          <w:tcPr>
            <w:tcW w:w="2048" w:type="dxa"/>
            <w:noWrap/>
            <w:vAlign w:val="center"/>
            <w:hideMark/>
          </w:tcPr>
          <w:p w14:paraId="033CDF2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Burgos</w:t>
            </w:r>
          </w:p>
        </w:tc>
        <w:tc>
          <w:tcPr>
            <w:tcW w:w="1200" w:type="dxa"/>
            <w:noWrap/>
            <w:vAlign w:val="center"/>
            <w:hideMark/>
          </w:tcPr>
          <w:p w14:paraId="514A1AF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22FA0F6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13,3</w:t>
            </w:r>
          </w:p>
        </w:tc>
        <w:tc>
          <w:tcPr>
            <w:tcW w:w="1218" w:type="dxa"/>
            <w:noWrap/>
            <w:vAlign w:val="center"/>
            <w:hideMark/>
          </w:tcPr>
          <w:p w14:paraId="6E2D31A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109</w:t>
            </w:r>
          </w:p>
        </w:tc>
        <w:tc>
          <w:tcPr>
            <w:tcW w:w="2380" w:type="dxa"/>
            <w:noWrap/>
            <w:vAlign w:val="center"/>
            <w:hideMark/>
          </w:tcPr>
          <w:p w14:paraId="56D630E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 community</w:t>
            </w:r>
          </w:p>
        </w:tc>
      </w:tr>
      <w:tr w:rsidR="00F94685" w:rsidRPr="00816833" w14:paraId="1B149657" w14:textId="77777777" w:rsidTr="00B66500">
        <w:trPr>
          <w:trHeight w:val="300"/>
        </w:trPr>
        <w:tc>
          <w:tcPr>
            <w:tcW w:w="2048" w:type="dxa"/>
            <w:noWrap/>
            <w:vAlign w:val="center"/>
            <w:hideMark/>
          </w:tcPr>
          <w:p w14:paraId="250FE1C6" w14:textId="77777777" w:rsidR="00F94685" w:rsidRPr="00816833" w:rsidRDefault="00F94685" w:rsidP="00B66500">
            <w:pPr>
              <w:jc w:val="center"/>
              <w:rPr>
                <w:rFonts w:ascii="Times New Roman" w:hAnsi="Times New Roman" w:cs="Times New Roman"/>
                <w:sz w:val="20"/>
                <w:szCs w:val="20"/>
              </w:rPr>
            </w:pPr>
            <w:proofErr w:type="spellStart"/>
            <w:r w:rsidRPr="00816833">
              <w:rPr>
                <w:rFonts w:ascii="Times New Roman" w:hAnsi="Times New Roman" w:cs="Times New Roman"/>
                <w:sz w:val="20"/>
                <w:szCs w:val="20"/>
              </w:rPr>
              <w:t>Cáceres</w:t>
            </w:r>
            <w:proofErr w:type="spellEnd"/>
          </w:p>
        </w:tc>
        <w:tc>
          <w:tcPr>
            <w:tcW w:w="1200" w:type="dxa"/>
            <w:noWrap/>
            <w:vAlign w:val="center"/>
            <w:hideMark/>
          </w:tcPr>
          <w:p w14:paraId="6D552E1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77D5F4E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12,1</w:t>
            </w:r>
          </w:p>
        </w:tc>
        <w:tc>
          <w:tcPr>
            <w:tcW w:w="1218" w:type="dxa"/>
            <w:noWrap/>
            <w:vAlign w:val="center"/>
            <w:hideMark/>
          </w:tcPr>
          <w:p w14:paraId="662240E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1212</w:t>
            </w:r>
          </w:p>
        </w:tc>
        <w:tc>
          <w:tcPr>
            <w:tcW w:w="2380" w:type="dxa"/>
            <w:noWrap/>
            <w:vAlign w:val="center"/>
            <w:hideMark/>
          </w:tcPr>
          <w:p w14:paraId="4B1FB94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53622F76" w14:textId="77777777" w:rsidTr="00B66500">
        <w:trPr>
          <w:trHeight w:val="300"/>
        </w:trPr>
        <w:tc>
          <w:tcPr>
            <w:tcW w:w="2048" w:type="dxa"/>
            <w:noWrap/>
            <w:vAlign w:val="center"/>
            <w:hideMark/>
          </w:tcPr>
          <w:p w14:paraId="7FD8598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Cádiz</w:t>
            </w:r>
          </w:p>
        </w:tc>
        <w:tc>
          <w:tcPr>
            <w:tcW w:w="1200" w:type="dxa"/>
            <w:noWrap/>
            <w:vAlign w:val="center"/>
            <w:hideMark/>
          </w:tcPr>
          <w:p w14:paraId="29EE71C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3B9060F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9,4</w:t>
            </w:r>
          </w:p>
        </w:tc>
        <w:tc>
          <w:tcPr>
            <w:tcW w:w="1218" w:type="dxa"/>
            <w:noWrap/>
            <w:vAlign w:val="center"/>
            <w:hideMark/>
          </w:tcPr>
          <w:p w14:paraId="2CE4FD5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48</w:t>
            </w:r>
          </w:p>
        </w:tc>
        <w:tc>
          <w:tcPr>
            <w:tcW w:w="2380" w:type="dxa"/>
            <w:noWrap/>
            <w:vAlign w:val="center"/>
            <w:hideMark/>
          </w:tcPr>
          <w:p w14:paraId="67D78DA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46790BC5" w14:textId="77777777" w:rsidTr="00B66500">
        <w:trPr>
          <w:trHeight w:val="300"/>
        </w:trPr>
        <w:tc>
          <w:tcPr>
            <w:tcW w:w="2048" w:type="dxa"/>
            <w:noWrap/>
            <w:vAlign w:val="center"/>
            <w:hideMark/>
          </w:tcPr>
          <w:p w14:paraId="78C39C01" w14:textId="77777777" w:rsidR="00F94685" w:rsidRPr="00816833" w:rsidRDefault="00F94685" w:rsidP="00B66500">
            <w:pPr>
              <w:jc w:val="center"/>
              <w:rPr>
                <w:rFonts w:ascii="Times New Roman" w:hAnsi="Times New Roman" w:cs="Times New Roman"/>
                <w:sz w:val="20"/>
                <w:szCs w:val="20"/>
              </w:rPr>
            </w:pPr>
            <w:proofErr w:type="spellStart"/>
            <w:r w:rsidRPr="00816833">
              <w:rPr>
                <w:rFonts w:ascii="Times New Roman" w:hAnsi="Times New Roman" w:cs="Times New Roman"/>
                <w:sz w:val="20"/>
                <w:szCs w:val="20"/>
              </w:rPr>
              <w:t>Castellón</w:t>
            </w:r>
            <w:proofErr w:type="spellEnd"/>
            <w:r w:rsidRPr="00816833">
              <w:rPr>
                <w:rFonts w:ascii="Times New Roman" w:hAnsi="Times New Roman" w:cs="Times New Roman"/>
                <w:sz w:val="20"/>
                <w:szCs w:val="20"/>
              </w:rPr>
              <w:t>/</w:t>
            </w:r>
            <w:proofErr w:type="spellStart"/>
            <w:r w:rsidRPr="00816833">
              <w:rPr>
                <w:rFonts w:ascii="Times New Roman" w:hAnsi="Times New Roman" w:cs="Times New Roman"/>
                <w:sz w:val="20"/>
                <w:szCs w:val="20"/>
              </w:rPr>
              <w:t>Castelló</w:t>
            </w:r>
            <w:proofErr w:type="spellEnd"/>
          </w:p>
        </w:tc>
        <w:tc>
          <w:tcPr>
            <w:tcW w:w="1200" w:type="dxa"/>
            <w:noWrap/>
            <w:vAlign w:val="center"/>
            <w:hideMark/>
          </w:tcPr>
          <w:p w14:paraId="0344BFE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7F8316B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12,3</w:t>
            </w:r>
          </w:p>
        </w:tc>
        <w:tc>
          <w:tcPr>
            <w:tcW w:w="1218" w:type="dxa"/>
            <w:noWrap/>
            <w:vAlign w:val="center"/>
            <w:hideMark/>
          </w:tcPr>
          <w:p w14:paraId="630AAEB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267</w:t>
            </w:r>
          </w:p>
        </w:tc>
        <w:tc>
          <w:tcPr>
            <w:tcW w:w="2380" w:type="dxa"/>
            <w:noWrap/>
            <w:vAlign w:val="center"/>
            <w:hideMark/>
          </w:tcPr>
          <w:p w14:paraId="2BDC88C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2A775E0C" w14:textId="77777777" w:rsidTr="00B66500">
        <w:trPr>
          <w:trHeight w:val="300"/>
        </w:trPr>
        <w:tc>
          <w:tcPr>
            <w:tcW w:w="2048" w:type="dxa"/>
            <w:noWrap/>
            <w:vAlign w:val="center"/>
            <w:hideMark/>
          </w:tcPr>
          <w:p w14:paraId="2CC5629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Cuenca</w:t>
            </w:r>
          </w:p>
        </w:tc>
        <w:tc>
          <w:tcPr>
            <w:tcW w:w="1200" w:type="dxa"/>
            <w:noWrap/>
            <w:vAlign w:val="center"/>
            <w:hideMark/>
          </w:tcPr>
          <w:p w14:paraId="2B64863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4A7D9E6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13,3</w:t>
            </w:r>
          </w:p>
        </w:tc>
        <w:tc>
          <w:tcPr>
            <w:tcW w:w="1218" w:type="dxa"/>
            <w:noWrap/>
            <w:vAlign w:val="center"/>
            <w:hideMark/>
          </w:tcPr>
          <w:p w14:paraId="5032DEF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w:t>
            </w:r>
          </w:p>
        </w:tc>
        <w:tc>
          <w:tcPr>
            <w:tcW w:w="2380" w:type="dxa"/>
            <w:noWrap/>
            <w:vAlign w:val="center"/>
            <w:hideMark/>
          </w:tcPr>
          <w:p w14:paraId="4AA1564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2CE47A27" w14:textId="77777777" w:rsidTr="00B66500">
        <w:trPr>
          <w:trHeight w:val="300"/>
        </w:trPr>
        <w:tc>
          <w:tcPr>
            <w:tcW w:w="2048" w:type="dxa"/>
            <w:noWrap/>
            <w:vAlign w:val="center"/>
            <w:hideMark/>
          </w:tcPr>
          <w:p w14:paraId="405FC90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Murcia</w:t>
            </w:r>
          </w:p>
        </w:tc>
        <w:tc>
          <w:tcPr>
            <w:tcW w:w="1200" w:type="dxa"/>
            <w:noWrap/>
            <w:vAlign w:val="center"/>
            <w:hideMark/>
          </w:tcPr>
          <w:p w14:paraId="35B0D7A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5C4D288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10,4</w:t>
            </w:r>
          </w:p>
        </w:tc>
        <w:tc>
          <w:tcPr>
            <w:tcW w:w="1218" w:type="dxa"/>
            <w:noWrap/>
            <w:vAlign w:val="center"/>
            <w:hideMark/>
          </w:tcPr>
          <w:p w14:paraId="1717E81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995</w:t>
            </w:r>
          </w:p>
        </w:tc>
        <w:tc>
          <w:tcPr>
            <w:tcW w:w="2380" w:type="dxa"/>
            <w:noWrap/>
            <w:vAlign w:val="center"/>
            <w:hideMark/>
          </w:tcPr>
          <w:p w14:paraId="0B2F33D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7DD41865" w14:textId="77777777" w:rsidTr="00B66500">
        <w:trPr>
          <w:trHeight w:val="300"/>
        </w:trPr>
        <w:tc>
          <w:tcPr>
            <w:tcW w:w="2048" w:type="dxa"/>
            <w:noWrap/>
            <w:vAlign w:val="center"/>
            <w:hideMark/>
          </w:tcPr>
          <w:p w14:paraId="542EE2B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Cantabria</w:t>
            </w:r>
          </w:p>
        </w:tc>
        <w:tc>
          <w:tcPr>
            <w:tcW w:w="1200" w:type="dxa"/>
            <w:noWrap/>
            <w:vAlign w:val="center"/>
            <w:hideMark/>
          </w:tcPr>
          <w:p w14:paraId="25BD4BD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6A1284F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12,6</w:t>
            </w:r>
          </w:p>
        </w:tc>
        <w:tc>
          <w:tcPr>
            <w:tcW w:w="1218" w:type="dxa"/>
            <w:noWrap/>
            <w:vAlign w:val="center"/>
            <w:hideMark/>
          </w:tcPr>
          <w:p w14:paraId="6384C59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422</w:t>
            </w:r>
          </w:p>
        </w:tc>
        <w:tc>
          <w:tcPr>
            <w:tcW w:w="2380" w:type="dxa"/>
            <w:noWrap/>
            <w:vAlign w:val="center"/>
            <w:hideMark/>
          </w:tcPr>
          <w:p w14:paraId="779DDA7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53DBC1F4" w14:textId="77777777" w:rsidTr="00B66500">
        <w:trPr>
          <w:trHeight w:val="300"/>
        </w:trPr>
        <w:tc>
          <w:tcPr>
            <w:tcW w:w="2048" w:type="dxa"/>
            <w:noWrap/>
            <w:vAlign w:val="center"/>
            <w:hideMark/>
          </w:tcPr>
          <w:p w14:paraId="4CB8C80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Segovia</w:t>
            </w:r>
          </w:p>
        </w:tc>
        <w:tc>
          <w:tcPr>
            <w:tcW w:w="1200" w:type="dxa"/>
            <w:noWrap/>
            <w:vAlign w:val="center"/>
            <w:hideMark/>
          </w:tcPr>
          <w:p w14:paraId="67DDF58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49211F1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13,3</w:t>
            </w:r>
          </w:p>
        </w:tc>
        <w:tc>
          <w:tcPr>
            <w:tcW w:w="1218" w:type="dxa"/>
            <w:noWrap/>
            <w:vAlign w:val="center"/>
            <w:hideMark/>
          </w:tcPr>
          <w:p w14:paraId="16B2E0D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44</w:t>
            </w:r>
          </w:p>
        </w:tc>
        <w:tc>
          <w:tcPr>
            <w:tcW w:w="2380" w:type="dxa"/>
            <w:noWrap/>
            <w:vAlign w:val="center"/>
            <w:hideMark/>
          </w:tcPr>
          <w:p w14:paraId="676975D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6F157280" w14:textId="77777777" w:rsidTr="00B66500">
        <w:trPr>
          <w:trHeight w:val="300"/>
        </w:trPr>
        <w:tc>
          <w:tcPr>
            <w:tcW w:w="2048" w:type="dxa"/>
            <w:noWrap/>
            <w:vAlign w:val="center"/>
            <w:hideMark/>
          </w:tcPr>
          <w:p w14:paraId="30AC949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Tarragona</w:t>
            </w:r>
          </w:p>
        </w:tc>
        <w:tc>
          <w:tcPr>
            <w:tcW w:w="1200" w:type="dxa"/>
            <w:noWrap/>
            <w:vAlign w:val="center"/>
            <w:hideMark/>
          </w:tcPr>
          <w:p w14:paraId="67CD54B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w:t>
            </w:r>
          </w:p>
        </w:tc>
        <w:tc>
          <w:tcPr>
            <w:tcW w:w="1200" w:type="dxa"/>
            <w:noWrap/>
            <w:vAlign w:val="center"/>
            <w:hideMark/>
          </w:tcPr>
          <w:p w14:paraId="4B381E5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12,5</w:t>
            </w:r>
          </w:p>
        </w:tc>
        <w:tc>
          <w:tcPr>
            <w:tcW w:w="1218" w:type="dxa"/>
            <w:noWrap/>
            <w:vAlign w:val="center"/>
            <w:hideMark/>
          </w:tcPr>
          <w:p w14:paraId="42EFCC7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195</w:t>
            </w:r>
          </w:p>
        </w:tc>
        <w:tc>
          <w:tcPr>
            <w:tcW w:w="2380" w:type="dxa"/>
            <w:noWrap/>
            <w:vAlign w:val="center"/>
            <w:hideMark/>
          </w:tcPr>
          <w:p w14:paraId="0484A0B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3EFD2FA6" w14:textId="77777777" w:rsidTr="00B66500">
        <w:trPr>
          <w:trHeight w:val="300"/>
        </w:trPr>
        <w:tc>
          <w:tcPr>
            <w:tcW w:w="2048" w:type="dxa"/>
            <w:noWrap/>
            <w:vAlign w:val="center"/>
            <w:hideMark/>
          </w:tcPr>
          <w:p w14:paraId="24D68E4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Badajoz</w:t>
            </w:r>
          </w:p>
        </w:tc>
        <w:tc>
          <w:tcPr>
            <w:tcW w:w="1200" w:type="dxa"/>
            <w:noWrap/>
            <w:vAlign w:val="center"/>
            <w:hideMark/>
          </w:tcPr>
          <w:p w14:paraId="561D750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431FD76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9,7</w:t>
            </w:r>
          </w:p>
        </w:tc>
        <w:tc>
          <w:tcPr>
            <w:tcW w:w="1218" w:type="dxa"/>
            <w:noWrap/>
            <w:vAlign w:val="center"/>
            <w:hideMark/>
          </w:tcPr>
          <w:p w14:paraId="37974AE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1209</w:t>
            </w:r>
          </w:p>
        </w:tc>
        <w:tc>
          <w:tcPr>
            <w:tcW w:w="2380" w:type="dxa"/>
            <w:noWrap/>
            <w:vAlign w:val="center"/>
            <w:hideMark/>
          </w:tcPr>
          <w:p w14:paraId="4222755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4F231A44" w14:textId="77777777" w:rsidTr="00B66500">
        <w:trPr>
          <w:trHeight w:val="300"/>
        </w:trPr>
        <w:tc>
          <w:tcPr>
            <w:tcW w:w="2048" w:type="dxa"/>
            <w:noWrap/>
            <w:vAlign w:val="center"/>
            <w:hideMark/>
          </w:tcPr>
          <w:p w14:paraId="1219DC5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Ciudad Real</w:t>
            </w:r>
          </w:p>
        </w:tc>
        <w:tc>
          <w:tcPr>
            <w:tcW w:w="1200" w:type="dxa"/>
            <w:noWrap/>
            <w:vAlign w:val="center"/>
            <w:hideMark/>
          </w:tcPr>
          <w:p w14:paraId="05275BD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51FBE7B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11,1</w:t>
            </w:r>
          </w:p>
        </w:tc>
        <w:tc>
          <w:tcPr>
            <w:tcW w:w="1218" w:type="dxa"/>
            <w:noWrap/>
            <w:vAlign w:val="center"/>
            <w:hideMark/>
          </w:tcPr>
          <w:p w14:paraId="47F5BE7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2380" w:type="dxa"/>
            <w:noWrap/>
            <w:vAlign w:val="center"/>
            <w:hideMark/>
          </w:tcPr>
          <w:p w14:paraId="399974D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7009241A" w14:textId="77777777" w:rsidTr="00B66500">
        <w:trPr>
          <w:trHeight w:val="300"/>
        </w:trPr>
        <w:tc>
          <w:tcPr>
            <w:tcW w:w="2048" w:type="dxa"/>
            <w:noWrap/>
            <w:vAlign w:val="center"/>
            <w:hideMark/>
          </w:tcPr>
          <w:p w14:paraId="10B38038" w14:textId="77777777" w:rsidR="00F94685" w:rsidRPr="00816833" w:rsidRDefault="00F94685" w:rsidP="00B66500">
            <w:pPr>
              <w:jc w:val="center"/>
              <w:rPr>
                <w:rFonts w:ascii="Times New Roman" w:hAnsi="Times New Roman" w:cs="Times New Roman"/>
                <w:sz w:val="20"/>
                <w:szCs w:val="20"/>
              </w:rPr>
            </w:pPr>
            <w:proofErr w:type="spellStart"/>
            <w:r w:rsidRPr="00816833">
              <w:rPr>
                <w:rFonts w:ascii="Times New Roman" w:hAnsi="Times New Roman" w:cs="Times New Roman"/>
                <w:sz w:val="20"/>
                <w:szCs w:val="20"/>
              </w:rPr>
              <w:t>Coruña</w:t>
            </w:r>
            <w:proofErr w:type="spellEnd"/>
            <w:r w:rsidRPr="00816833">
              <w:rPr>
                <w:rFonts w:ascii="Times New Roman" w:hAnsi="Times New Roman" w:cs="Times New Roman"/>
                <w:sz w:val="20"/>
                <w:szCs w:val="20"/>
              </w:rPr>
              <w:t>, A</w:t>
            </w:r>
          </w:p>
        </w:tc>
        <w:tc>
          <w:tcPr>
            <w:tcW w:w="1200" w:type="dxa"/>
            <w:noWrap/>
            <w:vAlign w:val="center"/>
            <w:hideMark/>
          </w:tcPr>
          <w:p w14:paraId="514A8BD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33E339A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7,3</w:t>
            </w:r>
          </w:p>
        </w:tc>
        <w:tc>
          <w:tcPr>
            <w:tcW w:w="1218" w:type="dxa"/>
            <w:noWrap/>
            <w:vAlign w:val="center"/>
            <w:hideMark/>
          </w:tcPr>
          <w:p w14:paraId="2F279C4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57</w:t>
            </w:r>
          </w:p>
        </w:tc>
        <w:tc>
          <w:tcPr>
            <w:tcW w:w="2380" w:type="dxa"/>
            <w:noWrap/>
            <w:vAlign w:val="center"/>
            <w:hideMark/>
          </w:tcPr>
          <w:p w14:paraId="1DA2224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Northwest community</w:t>
            </w:r>
          </w:p>
        </w:tc>
      </w:tr>
      <w:tr w:rsidR="00F94685" w:rsidRPr="00816833" w14:paraId="55A46C05" w14:textId="77777777" w:rsidTr="00B66500">
        <w:trPr>
          <w:trHeight w:val="300"/>
        </w:trPr>
        <w:tc>
          <w:tcPr>
            <w:tcW w:w="2048" w:type="dxa"/>
            <w:noWrap/>
            <w:vAlign w:val="center"/>
            <w:hideMark/>
          </w:tcPr>
          <w:p w14:paraId="29BAE96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Huesca</w:t>
            </w:r>
          </w:p>
        </w:tc>
        <w:tc>
          <w:tcPr>
            <w:tcW w:w="1200" w:type="dxa"/>
            <w:noWrap/>
            <w:vAlign w:val="center"/>
            <w:hideMark/>
          </w:tcPr>
          <w:p w14:paraId="0298633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2B221BA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8,7</w:t>
            </w:r>
          </w:p>
        </w:tc>
        <w:tc>
          <w:tcPr>
            <w:tcW w:w="1218" w:type="dxa"/>
            <w:noWrap/>
            <w:vAlign w:val="center"/>
            <w:hideMark/>
          </w:tcPr>
          <w:p w14:paraId="568CA3A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162</w:t>
            </w:r>
          </w:p>
        </w:tc>
        <w:tc>
          <w:tcPr>
            <w:tcW w:w="2380" w:type="dxa"/>
            <w:noWrap/>
            <w:vAlign w:val="center"/>
            <w:hideMark/>
          </w:tcPr>
          <w:p w14:paraId="6C6E118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1D0943B7" w14:textId="77777777" w:rsidTr="00B66500">
        <w:trPr>
          <w:trHeight w:val="300"/>
        </w:trPr>
        <w:tc>
          <w:tcPr>
            <w:tcW w:w="2048" w:type="dxa"/>
            <w:noWrap/>
            <w:vAlign w:val="center"/>
            <w:hideMark/>
          </w:tcPr>
          <w:p w14:paraId="1FD0EA57" w14:textId="77777777" w:rsidR="00F94685" w:rsidRPr="00816833" w:rsidRDefault="00F94685" w:rsidP="00B66500">
            <w:pPr>
              <w:jc w:val="center"/>
              <w:rPr>
                <w:rFonts w:ascii="Times New Roman" w:hAnsi="Times New Roman" w:cs="Times New Roman"/>
                <w:sz w:val="20"/>
                <w:szCs w:val="20"/>
              </w:rPr>
            </w:pPr>
            <w:proofErr w:type="spellStart"/>
            <w:r w:rsidRPr="00816833">
              <w:rPr>
                <w:rFonts w:ascii="Times New Roman" w:hAnsi="Times New Roman" w:cs="Times New Roman"/>
                <w:sz w:val="20"/>
                <w:szCs w:val="20"/>
              </w:rPr>
              <w:t>Jaén</w:t>
            </w:r>
            <w:proofErr w:type="spellEnd"/>
          </w:p>
        </w:tc>
        <w:tc>
          <w:tcPr>
            <w:tcW w:w="1200" w:type="dxa"/>
            <w:noWrap/>
            <w:vAlign w:val="center"/>
            <w:hideMark/>
          </w:tcPr>
          <w:p w14:paraId="2CBABC0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12CB7F9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9,6</w:t>
            </w:r>
          </w:p>
        </w:tc>
        <w:tc>
          <w:tcPr>
            <w:tcW w:w="1218" w:type="dxa"/>
            <w:noWrap/>
            <w:vAlign w:val="center"/>
            <w:hideMark/>
          </w:tcPr>
          <w:p w14:paraId="23EB1FD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11</w:t>
            </w:r>
          </w:p>
        </w:tc>
        <w:tc>
          <w:tcPr>
            <w:tcW w:w="2380" w:type="dxa"/>
            <w:noWrap/>
            <w:vAlign w:val="center"/>
            <w:hideMark/>
          </w:tcPr>
          <w:p w14:paraId="0E3186B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28DB5833" w14:textId="77777777" w:rsidTr="00B66500">
        <w:trPr>
          <w:trHeight w:val="300"/>
        </w:trPr>
        <w:tc>
          <w:tcPr>
            <w:tcW w:w="2048" w:type="dxa"/>
            <w:noWrap/>
            <w:vAlign w:val="center"/>
            <w:hideMark/>
          </w:tcPr>
          <w:p w14:paraId="0777904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lastRenderedPageBreak/>
              <w:t>Lleida</w:t>
            </w:r>
          </w:p>
        </w:tc>
        <w:tc>
          <w:tcPr>
            <w:tcW w:w="1200" w:type="dxa"/>
            <w:noWrap/>
            <w:vAlign w:val="center"/>
            <w:hideMark/>
          </w:tcPr>
          <w:p w14:paraId="10E6FAF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0836A34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8,9</w:t>
            </w:r>
          </w:p>
        </w:tc>
        <w:tc>
          <w:tcPr>
            <w:tcW w:w="1218" w:type="dxa"/>
            <w:noWrap/>
            <w:vAlign w:val="center"/>
            <w:hideMark/>
          </w:tcPr>
          <w:p w14:paraId="3322DAEC"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118</w:t>
            </w:r>
          </w:p>
        </w:tc>
        <w:tc>
          <w:tcPr>
            <w:tcW w:w="2380" w:type="dxa"/>
            <w:noWrap/>
            <w:vAlign w:val="center"/>
            <w:hideMark/>
          </w:tcPr>
          <w:p w14:paraId="5B355A7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2978BD95" w14:textId="77777777" w:rsidTr="00B66500">
        <w:trPr>
          <w:trHeight w:val="300"/>
        </w:trPr>
        <w:tc>
          <w:tcPr>
            <w:tcW w:w="2048" w:type="dxa"/>
            <w:noWrap/>
            <w:vAlign w:val="center"/>
            <w:hideMark/>
          </w:tcPr>
          <w:p w14:paraId="01D36A6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Rioja, La</w:t>
            </w:r>
          </w:p>
        </w:tc>
        <w:tc>
          <w:tcPr>
            <w:tcW w:w="1200" w:type="dxa"/>
            <w:noWrap/>
            <w:vAlign w:val="center"/>
            <w:hideMark/>
          </w:tcPr>
          <w:p w14:paraId="26A4DA8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1D5FB42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8,4</w:t>
            </w:r>
          </w:p>
        </w:tc>
        <w:tc>
          <w:tcPr>
            <w:tcW w:w="1218" w:type="dxa"/>
            <w:noWrap/>
            <w:vAlign w:val="center"/>
            <w:hideMark/>
          </w:tcPr>
          <w:p w14:paraId="7B8FF1F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23</w:t>
            </w:r>
          </w:p>
        </w:tc>
        <w:tc>
          <w:tcPr>
            <w:tcW w:w="2380" w:type="dxa"/>
            <w:noWrap/>
            <w:vAlign w:val="center"/>
            <w:hideMark/>
          </w:tcPr>
          <w:p w14:paraId="5C43A0B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 community</w:t>
            </w:r>
          </w:p>
        </w:tc>
      </w:tr>
      <w:tr w:rsidR="00F94685" w:rsidRPr="00816833" w14:paraId="21E04A6B" w14:textId="77777777" w:rsidTr="00B66500">
        <w:trPr>
          <w:trHeight w:val="300"/>
        </w:trPr>
        <w:tc>
          <w:tcPr>
            <w:tcW w:w="2048" w:type="dxa"/>
            <w:noWrap/>
            <w:vAlign w:val="center"/>
            <w:hideMark/>
          </w:tcPr>
          <w:p w14:paraId="180DCCB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Palencia</w:t>
            </w:r>
          </w:p>
        </w:tc>
        <w:tc>
          <w:tcPr>
            <w:tcW w:w="1200" w:type="dxa"/>
            <w:noWrap/>
            <w:vAlign w:val="center"/>
            <w:hideMark/>
          </w:tcPr>
          <w:p w14:paraId="6472EB7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27C0C29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w:t>
            </w:r>
          </w:p>
        </w:tc>
        <w:tc>
          <w:tcPr>
            <w:tcW w:w="1218" w:type="dxa"/>
            <w:noWrap/>
            <w:vAlign w:val="center"/>
            <w:hideMark/>
          </w:tcPr>
          <w:p w14:paraId="28F542A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132</w:t>
            </w:r>
          </w:p>
        </w:tc>
        <w:tc>
          <w:tcPr>
            <w:tcW w:w="2380" w:type="dxa"/>
            <w:noWrap/>
            <w:vAlign w:val="center"/>
            <w:hideMark/>
          </w:tcPr>
          <w:p w14:paraId="640B559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Central-West community</w:t>
            </w:r>
          </w:p>
        </w:tc>
      </w:tr>
      <w:tr w:rsidR="00F94685" w:rsidRPr="00816833" w14:paraId="38DFE89A" w14:textId="77777777" w:rsidTr="00B66500">
        <w:trPr>
          <w:trHeight w:val="300"/>
        </w:trPr>
        <w:tc>
          <w:tcPr>
            <w:tcW w:w="2048" w:type="dxa"/>
            <w:noWrap/>
            <w:vAlign w:val="center"/>
            <w:hideMark/>
          </w:tcPr>
          <w:p w14:paraId="3493B14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Pontevedra</w:t>
            </w:r>
          </w:p>
        </w:tc>
        <w:tc>
          <w:tcPr>
            <w:tcW w:w="1200" w:type="dxa"/>
            <w:noWrap/>
            <w:vAlign w:val="center"/>
            <w:hideMark/>
          </w:tcPr>
          <w:p w14:paraId="2105CD4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76A13C1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7,3</w:t>
            </w:r>
          </w:p>
        </w:tc>
        <w:tc>
          <w:tcPr>
            <w:tcW w:w="1218" w:type="dxa"/>
            <w:noWrap/>
            <w:vAlign w:val="center"/>
            <w:hideMark/>
          </w:tcPr>
          <w:p w14:paraId="228B1EA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57</w:t>
            </w:r>
          </w:p>
        </w:tc>
        <w:tc>
          <w:tcPr>
            <w:tcW w:w="2380" w:type="dxa"/>
            <w:noWrap/>
            <w:vAlign w:val="center"/>
            <w:hideMark/>
          </w:tcPr>
          <w:p w14:paraId="4E233CC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Northwest community</w:t>
            </w:r>
          </w:p>
        </w:tc>
      </w:tr>
      <w:tr w:rsidR="00F94685" w:rsidRPr="00816833" w14:paraId="5DAE348C" w14:textId="77777777" w:rsidTr="00B66500">
        <w:trPr>
          <w:trHeight w:val="300"/>
        </w:trPr>
        <w:tc>
          <w:tcPr>
            <w:tcW w:w="2048" w:type="dxa"/>
            <w:noWrap/>
            <w:vAlign w:val="center"/>
            <w:hideMark/>
          </w:tcPr>
          <w:p w14:paraId="00EB1FE9" w14:textId="77777777" w:rsidR="00F94685" w:rsidRPr="00816833" w:rsidRDefault="00F94685" w:rsidP="00B66500">
            <w:pPr>
              <w:jc w:val="center"/>
              <w:rPr>
                <w:rFonts w:ascii="Times New Roman" w:hAnsi="Times New Roman" w:cs="Times New Roman"/>
                <w:sz w:val="20"/>
                <w:szCs w:val="20"/>
              </w:rPr>
            </w:pPr>
            <w:proofErr w:type="spellStart"/>
            <w:r w:rsidRPr="00816833">
              <w:rPr>
                <w:rFonts w:ascii="Times New Roman" w:hAnsi="Times New Roman" w:cs="Times New Roman"/>
                <w:sz w:val="20"/>
                <w:szCs w:val="20"/>
              </w:rPr>
              <w:t>Teruel</w:t>
            </w:r>
            <w:proofErr w:type="spellEnd"/>
          </w:p>
        </w:tc>
        <w:tc>
          <w:tcPr>
            <w:tcW w:w="1200" w:type="dxa"/>
            <w:noWrap/>
            <w:vAlign w:val="center"/>
            <w:hideMark/>
          </w:tcPr>
          <w:p w14:paraId="5733D77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4</w:t>
            </w:r>
          </w:p>
        </w:tc>
        <w:tc>
          <w:tcPr>
            <w:tcW w:w="1200" w:type="dxa"/>
            <w:noWrap/>
            <w:vAlign w:val="center"/>
            <w:hideMark/>
          </w:tcPr>
          <w:p w14:paraId="7ADD649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10,6</w:t>
            </w:r>
          </w:p>
        </w:tc>
        <w:tc>
          <w:tcPr>
            <w:tcW w:w="1218" w:type="dxa"/>
            <w:noWrap/>
            <w:vAlign w:val="center"/>
            <w:hideMark/>
          </w:tcPr>
          <w:p w14:paraId="1A69E0C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w:t>
            </w:r>
          </w:p>
        </w:tc>
        <w:tc>
          <w:tcPr>
            <w:tcW w:w="2380" w:type="dxa"/>
            <w:noWrap/>
            <w:vAlign w:val="center"/>
            <w:hideMark/>
          </w:tcPr>
          <w:p w14:paraId="6AE13B5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4197590D" w14:textId="77777777" w:rsidTr="00B66500">
        <w:trPr>
          <w:trHeight w:val="300"/>
        </w:trPr>
        <w:tc>
          <w:tcPr>
            <w:tcW w:w="2048" w:type="dxa"/>
            <w:noWrap/>
            <w:vAlign w:val="center"/>
            <w:hideMark/>
          </w:tcPr>
          <w:p w14:paraId="7F22C4AF" w14:textId="77777777" w:rsidR="00F94685" w:rsidRPr="00816833" w:rsidRDefault="00F94685" w:rsidP="00B66500">
            <w:pPr>
              <w:jc w:val="center"/>
              <w:rPr>
                <w:rFonts w:ascii="Times New Roman" w:hAnsi="Times New Roman" w:cs="Times New Roman"/>
                <w:sz w:val="20"/>
                <w:szCs w:val="20"/>
              </w:rPr>
            </w:pPr>
            <w:proofErr w:type="spellStart"/>
            <w:r w:rsidRPr="00816833">
              <w:rPr>
                <w:rFonts w:ascii="Times New Roman" w:hAnsi="Times New Roman" w:cs="Times New Roman"/>
                <w:sz w:val="20"/>
                <w:szCs w:val="20"/>
              </w:rPr>
              <w:t>Balears</w:t>
            </w:r>
            <w:proofErr w:type="spellEnd"/>
            <w:r w:rsidRPr="00816833">
              <w:rPr>
                <w:rFonts w:ascii="Times New Roman" w:hAnsi="Times New Roman" w:cs="Times New Roman"/>
                <w:sz w:val="20"/>
                <w:szCs w:val="20"/>
              </w:rPr>
              <w:t xml:space="preserve">, </w:t>
            </w:r>
            <w:proofErr w:type="spellStart"/>
            <w:r w:rsidRPr="00816833">
              <w:rPr>
                <w:rFonts w:ascii="Times New Roman" w:hAnsi="Times New Roman" w:cs="Times New Roman"/>
                <w:sz w:val="20"/>
                <w:szCs w:val="20"/>
              </w:rPr>
              <w:t>Illes</w:t>
            </w:r>
            <w:proofErr w:type="spellEnd"/>
          </w:p>
        </w:tc>
        <w:tc>
          <w:tcPr>
            <w:tcW w:w="1200" w:type="dxa"/>
            <w:noWrap/>
            <w:vAlign w:val="center"/>
            <w:hideMark/>
          </w:tcPr>
          <w:p w14:paraId="73E0680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w:t>
            </w:r>
          </w:p>
        </w:tc>
        <w:tc>
          <w:tcPr>
            <w:tcW w:w="1200" w:type="dxa"/>
            <w:noWrap/>
            <w:vAlign w:val="center"/>
            <w:hideMark/>
          </w:tcPr>
          <w:p w14:paraId="0302E71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7,5</w:t>
            </w:r>
          </w:p>
        </w:tc>
        <w:tc>
          <w:tcPr>
            <w:tcW w:w="1218" w:type="dxa"/>
            <w:noWrap/>
            <w:vAlign w:val="center"/>
            <w:hideMark/>
          </w:tcPr>
          <w:p w14:paraId="21678F5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0</w:t>
            </w:r>
          </w:p>
        </w:tc>
        <w:tc>
          <w:tcPr>
            <w:tcW w:w="2380" w:type="dxa"/>
            <w:noWrap/>
            <w:vAlign w:val="center"/>
            <w:hideMark/>
          </w:tcPr>
          <w:p w14:paraId="1CF36C8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0A915F28" w14:textId="77777777" w:rsidTr="00B66500">
        <w:trPr>
          <w:trHeight w:val="300"/>
        </w:trPr>
        <w:tc>
          <w:tcPr>
            <w:tcW w:w="2048" w:type="dxa"/>
            <w:noWrap/>
            <w:vAlign w:val="center"/>
            <w:hideMark/>
          </w:tcPr>
          <w:p w14:paraId="664011A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Huelva</w:t>
            </w:r>
          </w:p>
        </w:tc>
        <w:tc>
          <w:tcPr>
            <w:tcW w:w="1200" w:type="dxa"/>
            <w:noWrap/>
            <w:vAlign w:val="center"/>
            <w:hideMark/>
          </w:tcPr>
          <w:p w14:paraId="42F2FE6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w:t>
            </w:r>
          </w:p>
        </w:tc>
        <w:tc>
          <w:tcPr>
            <w:tcW w:w="1200" w:type="dxa"/>
            <w:noWrap/>
            <w:vAlign w:val="center"/>
            <w:hideMark/>
          </w:tcPr>
          <w:p w14:paraId="7F16861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7</w:t>
            </w:r>
          </w:p>
        </w:tc>
        <w:tc>
          <w:tcPr>
            <w:tcW w:w="1218" w:type="dxa"/>
            <w:noWrap/>
            <w:vAlign w:val="center"/>
            <w:hideMark/>
          </w:tcPr>
          <w:p w14:paraId="1E23F86E"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906</w:t>
            </w:r>
          </w:p>
        </w:tc>
        <w:tc>
          <w:tcPr>
            <w:tcW w:w="2380" w:type="dxa"/>
            <w:noWrap/>
            <w:vAlign w:val="center"/>
            <w:hideMark/>
          </w:tcPr>
          <w:p w14:paraId="64FE4B0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55C805E7" w14:textId="77777777" w:rsidTr="00B66500">
        <w:trPr>
          <w:trHeight w:val="300"/>
        </w:trPr>
        <w:tc>
          <w:tcPr>
            <w:tcW w:w="2048" w:type="dxa"/>
            <w:noWrap/>
            <w:vAlign w:val="center"/>
            <w:hideMark/>
          </w:tcPr>
          <w:p w14:paraId="05FC2E9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Palmas, Las</w:t>
            </w:r>
          </w:p>
        </w:tc>
        <w:tc>
          <w:tcPr>
            <w:tcW w:w="1200" w:type="dxa"/>
            <w:noWrap/>
            <w:vAlign w:val="center"/>
            <w:hideMark/>
          </w:tcPr>
          <w:p w14:paraId="36932A8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w:t>
            </w:r>
          </w:p>
        </w:tc>
        <w:tc>
          <w:tcPr>
            <w:tcW w:w="1200" w:type="dxa"/>
            <w:noWrap/>
            <w:vAlign w:val="center"/>
            <w:hideMark/>
          </w:tcPr>
          <w:p w14:paraId="46D312D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5,9</w:t>
            </w:r>
          </w:p>
        </w:tc>
        <w:tc>
          <w:tcPr>
            <w:tcW w:w="1218" w:type="dxa"/>
            <w:noWrap/>
            <w:vAlign w:val="center"/>
            <w:hideMark/>
          </w:tcPr>
          <w:p w14:paraId="2A86E33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w:t>
            </w:r>
          </w:p>
        </w:tc>
        <w:tc>
          <w:tcPr>
            <w:tcW w:w="2380" w:type="dxa"/>
            <w:noWrap/>
            <w:vAlign w:val="center"/>
            <w:hideMark/>
          </w:tcPr>
          <w:p w14:paraId="13C7099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Canary Islands community</w:t>
            </w:r>
          </w:p>
        </w:tc>
      </w:tr>
      <w:tr w:rsidR="00F94685" w:rsidRPr="00816833" w14:paraId="4D211180" w14:textId="77777777" w:rsidTr="00B66500">
        <w:trPr>
          <w:trHeight w:val="300"/>
        </w:trPr>
        <w:tc>
          <w:tcPr>
            <w:tcW w:w="2048" w:type="dxa"/>
            <w:noWrap/>
            <w:vAlign w:val="center"/>
            <w:hideMark/>
          </w:tcPr>
          <w:p w14:paraId="7597482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Soria</w:t>
            </w:r>
          </w:p>
        </w:tc>
        <w:tc>
          <w:tcPr>
            <w:tcW w:w="1200" w:type="dxa"/>
            <w:noWrap/>
            <w:vAlign w:val="center"/>
            <w:hideMark/>
          </w:tcPr>
          <w:p w14:paraId="47B80D2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w:t>
            </w:r>
          </w:p>
        </w:tc>
        <w:tc>
          <w:tcPr>
            <w:tcW w:w="1200" w:type="dxa"/>
            <w:noWrap/>
            <w:vAlign w:val="center"/>
            <w:hideMark/>
          </w:tcPr>
          <w:p w14:paraId="7ADE983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8,3</w:t>
            </w:r>
          </w:p>
        </w:tc>
        <w:tc>
          <w:tcPr>
            <w:tcW w:w="1218" w:type="dxa"/>
            <w:noWrap/>
            <w:vAlign w:val="center"/>
            <w:hideMark/>
          </w:tcPr>
          <w:p w14:paraId="4882758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0</w:t>
            </w:r>
          </w:p>
        </w:tc>
        <w:tc>
          <w:tcPr>
            <w:tcW w:w="2380" w:type="dxa"/>
            <w:noWrap/>
            <w:vAlign w:val="center"/>
            <w:hideMark/>
          </w:tcPr>
          <w:p w14:paraId="4FE2DC0F"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1E0105A7" w14:textId="77777777" w:rsidTr="00B66500">
        <w:trPr>
          <w:trHeight w:val="300"/>
        </w:trPr>
        <w:tc>
          <w:tcPr>
            <w:tcW w:w="2048" w:type="dxa"/>
            <w:noWrap/>
            <w:vAlign w:val="center"/>
            <w:hideMark/>
          </w:tcPr>
          <w:p w14:paraId="08A9447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Girona</w:t>
            </w:r>
          </w:p>
        </w:tc>
        <w:tc>
          <w:tcPr>
            <w:tcW w:w="1200" w:type="dxa"/>
            <w:noWrap/>
            <w:vAlign w:val="center"/>
            <w:hideMark/>
          </w:tcPr>
          <w:p w14:paraId="60B4C22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w:t>
            </w:r>
          </w:p>
        </w:tc>
        <w:tc>
          <w:tcPr>
            <w:tcW w:w="1200" w:type="dxa"/>
            <w:noWrap/>
            <w:vAlign w:val="center"/>
            <w:hideMark/>
          </w:tcPr>
          <w:p w14:paraId="11893719"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2,9</w:t>
            </w:r>
          </w:p>
        </w:tc>
        <w:tc>
          <w:tcPr>
            <w:tcW w:w="1218" w:type="dxa"/>
            <w:noWrap/>
            <w:vAlign w:val="center"/>
            <w:hideMark/>
          </w:tcPr>
          <w:p w14:paraId="5813874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0</w:t>
            </w:r>
          </w:p>
        </w:tc>
        <w:tc>
          <w:tcPr>
            <w:tcW w:w="2380" w:type="dxa"/>
            <w:noWrap/>
            <w:vAlign w:val="center"/>
            <w:hideMark/>
          </w:tcPr>
          <w:p w14:paraId="0038CC4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Northeast community</w:t>
            </w:r>
          </w:p>
        </w:tc>
      </w:tr>
      <w:tr w:rsidR="00F94685" w:rsidRPr="00816833" w14:paraId="3B83BEDC" w14:textId="77777777" w:rsidTr="00B66500">
        <w:trPr>
          <w:trHeight w:val="300"/>
        </w:trPr>
        <w:tc>
          <w:tcPr>
            <w:tcW w:w="2048" w:type="dxa"/>
            <w:noWrap/>
            <w:vAlign w:val="center"/>
            <w:hideMark/>
          </w:tcPr>
          <w:p w14:paraId="28428CF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Guadalajara</w:t>
            </w:r>
          </w:p>
        </w:tc>
        <w:tc>
          <w:tcPr>
            <w:tcW w:w="1200" w:type="dxa"/>
            <w:noWrap/>
            <w:vAlign w:val="center"/>
            <w:hideMark/>
          </w:tcPr>
          <w:p w14:paraId="1C25E766"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w:t>
            </w:r>
          </w:p>
        </w:tc>
        <w:tc>
          <w:tcPr>
            <w:tcW w:w="1200" w:type="dxa"/>
            <w:noWrap/>
            <w:vAlign w:val="center"/>
            <w:hideMark/>
          </w:tcPr>
          <w:p w14:paraId="752AF278"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3,6</w:t>
            </w:r>
          </w:p>
        </w:tc>
        <w:tc>
          <w:tcPr>
            <w:tcW w:w="1218" w:type="dxa"/>
            <w:noWrap/>
            <w:vAlign w:val="center"/>
            <w:hideMark/>
          </w:tcPr>
          <w:p w14:paraId="0BA4CB3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0</w:t>
            </w:r>
          </w:p>
        </w:tc>
        <w:tc>
          <w:tcPr>
            <w:tcW w:w="2380" w:type="dxa"/>
            <w:noWrap/>
            <w:vAlign w:val="center"/>
            <w:hideMark/>
          </w:tcPr>
          <w:p w14:paraId="4C1422B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Central-East community</w:t>
            </w:r>
          </w:p>
        </w:tc>
      </w:tr>
      <w:tr w:rsidR="00F94685" w:rsidRPr="00816833" w14:paraId="31BCBF7E" w14:textId="77777777" w:rsidTr="00B66500">
        <w:trPr>
          <w:trHeight w:val="300"/>
        </w:trPr>
        <w:tc>
          <w:tcPr>
            <w:tcW w:w="2048" w:type="dxa"/>
            <w:noWrap/>
            <w:vAlign w:val="center"/>
            <w:hideMark/>
          </w:tcPr>
          <w:p w14:paraId="483DE09A"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Santa Cruz de Tenerife</w:t>
            </w:r>
          </w:p>
        </w:tc>
        <w:tc>
          <w:tcPr>
            <w:tcW w:w="1200" w:type="dxa"/>
            <w:noWrap/>
            <w:vAlign w:val="center"/>
            <w:hideMark/>
          </w:tcPr>
          <w:p w14:paraId="08DE564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w:t>
            </w:r>
          </w:p>
        </w:tc>
        <w:tc>
          <w:tcPr>
            <w:tcW w:w="1200" w:type="dxa"/>
            <w:noWrap/>
            <w:vAlign w:val="center"/>
            <w:hideMark/>
          </w:tcPr>
          <w:p w14:paraId="549FBB1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2,7</w:t>
            </w:r>
          </w:p>
        </w:tc>
        <w:tc>
          <w:tcPr>
            <w:tcW w:w="1218" w:type="dxa"/>
            <w:noWrap/>
            <w:vAlign w:val="center"/>
            <w:hideMark/>
          </w:tcPr>
          <w:p w14:paraId="0ED8C25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0</w:t>
            </w:r>
          </w:p>
        </w:tc>
        <w:tc>
          <w:tcPr>
            <w:tcW w:w="2380" w:type="dxa"/>
            <w:noWrap/>
            <w:vAlign w:val="center"/>
            <w:hideMark/>
          </w:tcPr>
          <w:p w14:paraId="2CA42F7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Canary Islands community</w:t>
            </w:r>
          </w:p>
        </w:tc>
      </w:tr>
      <w:tr w:rsidR="00F94685" w:rsidRPr="00816833" w14:paraId="2FA946F9" w14:textId="77777777" w:rsidTr="00B66500">
        <w:trPr>
          <w:trHeight w:val="300"/>
        </w:trPr>
        <w:tc>
          <w:tcPr>
            <w:tcW w:w="2048" w:type="dxa"/>
            <w:noWrap/>
            <w:vAlign w:val="center"/>
            <w:hideMark/>
          </w:tcPr>
          <w:p w14:paraId="310B1C8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Melilla</w:t>
            </w:r>
          </w:p>
        </w:tc>
        <w:tc>
          <w:tcPr>
            <w:tcW w:w="1200" w:type="dxa"/>
            <w:noWrap/>
            <w:vAlign w:val="center"/>
            <w:hideMark/>
          </w:tcPr>
          <w:p w14:paraId="1251C255"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2</w:t>
            </w:r>
          </w:p>
        </w:tc>
        <w:tc>
          <w:tcPr>
            <w:tcW w:w="1200" w:type="dxa"/>
            <w:noWrap/>
            <w:vAlign w:val="center"/>
            <w:hideMark/>
          </w:tcPr>
          <w:p w14:paraId="6598EA34"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3,9</w:t>
            </w:r>
          </w:p>
        </w:tc>
        <w:tc>
          <w:tcPr>
            <w:tcW w:w="1218" w:type="dxa"/>
            <w:noWrap/>
            <w:vAlign w:val="center"/>
            <w:hideMark/>
          </w:tcPr>
          <w:p w14:paraId="365DB6FD"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0</w:t>
            </w:r>
          </w:p>
        </w:tc>
        <w:tc>
          <w:tcPr>
            <w:tcW w:w="2380" w:type="dxa"/>
            <w:noWrap/>
            <w:vAlign w:val="center"/>
            <w:hideMark/>
          </w:tcPr>
          <w:p w14:paraId="4441E98B"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r w:rsidR="00F94685" w:rsidRPr="00816833" w14:paraId="66603228" w14:textId="77777777" w:rsidTr="00B66500">
        <w:trPr>
          <w:trHeight w:val="300"/>
        </w:trPr>
        <w:tc>
          <w:tcPr>
            <w:tcW w:w="2048" w:type="dxa"/>
            <w:noWrap/>
            <w:vAlign w:val="center"/>
            <w:hideMark/>
          </w:tcPr>
          <w:p w14:paraId="0C149142"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Ceuta</w:t>
            </w:r>
          </w:p>
        </w:tc>
        <w:tc>
          <w:tcPr>
            <w:tcW w:w="1200" w:type="dxa"/>
            <w:noWrap/>
            <w:vAlign w:val="center"/>
            <w:hideMark/>
          </w:tcPr>
          <w:p w14:paraId="0C153971"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w:t>
            </w:r>
          </w:p>
        </w:tc>
        <w:tc>
          <w:tcPr>
            <w:tcW w:w="1200" w:type="dxa"/>
            <w:noWrap/>
            <w:vAlign w:val="center"/>
            <w:hideMark/>
          </w:tcPr>
          <w:p w14:paraId="25495AD3"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1,2</w:t>
            </w:r>
          </w:p>
        </w:tc>
        <w:tc>
          <w:tcPr>
            <w:tcW w:w="1218" w:type="dxa"/>
            <w:noWrap/>
            <w:vAlign w:val="center"/>
            <w:hideMark/>
          </w:tcPr>
          <w:p w14:paraId="0A2E2207"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0</w:t>
            </w:r>
          </w:p>
        </w:tc>
        <w:tc>
          <w:tcPr>
            <w:tcW w:w="2380" w:type="dxa"/>
            <w:noWrap/>
            <w:vAlign w:val="center"/>
            <w:hideMark/>
          </w:tcPr>
          <w:p w14:paraId="26DC2410" w14:textId="77777777" w:rsidR="00F94685" w:rsidRPr="00816833" w:rsidRDefault="00F94685" w:rsidP="00B66500">
            <w:pPr>
              <w:jc w:val="center"/>
              <w:rPr>
                <w:rFonts w:ascii="Times New Roman" w:hAnsi="Times New Roman" w:cs="Times New Roman"/>
                <w:sz w:val="20"/>
                <w:szCs w:val="20"/>
              </w:rPr>
            </w:pPr>
            <w:r w:rsidRPr="00816833">
              <w:rPr>
                <w:rFonts w:ascii="Times New Roman" w:hAnsi="Times New Roman" w:cs="Times New Roman"/>
                <w:sz w:val="20"/>
                <w:szCs w:val="20"/>
              </w:rPr>
              <w:t>South community</w:t>
            </w:r>
          </w:p>
        </w:tc>
      </w:tr>
    </w:tbl>
    <w:p w14:paraId="6CD51632" w14:textId="04394E18" w:rsidR="00F94685" w:rsidRDefault="00F94685">
      <w:r>
        <w:br w:type="page"/>
      </w:r>
    </w:p>
    <w:p w14:paraId="4CC4ACB5" w14:textId="732B0612" w:rsidR="00443282" w:rsidRPr="00E55076" w:rsidRDefault="00B1039B" w:rsidP="00F94685">
      <w:pPr>
        <w:pStyle w:val="Ttulo3"/>
      </w:pPr>
      <w:bookmarkStart w:id="6" w:name="_Toc105580915"/>
      <w:r>
        <w:lastRenderedPageBreak/>
        <w:t xml:space="preserve">Community structure from the EDN: </w:t>
      </w:r>
      <w:r w:rsidR="007E67FF">
        <w:t>hierarchical clustering</w:t>
      </w:r>
      <w:bookmarkEnd w:id="6"/>
    </w:p>
    <w:p w14:paraId="4207E4A6" w14:textId="3452D2D7" w:rsidR="002B68C9" w:rsidRDefault="007E67FF" w:rsidP="00252A06">
      <w:pPr>
        <w:pStyle w:val="Textoindependiente"/>
        <w:spacing w:line="360" w:lineRule="auto"/>
        <w:jc w:val="both"/>
      </w:pPr>
      <w:r>
        <w:t>When testing for communities and modularity in the EDN, as expressed in the main paper, a total of seven communities arises.  Hierarchical clustering dendrogram (Fig S6)</w:t>
      </w:r>
      <w:r w:rsidR="00D820A9">
        <w:t xml:space="preserve"> shows how </w:t>
      </w:r>
      <w:r w:rsidR="00A96D69">
        <w:t xml:space="preserve">provinces are grouped by a similarity </w:t>
      </w:r>
      <w:r w:rsidR="00B1236B">
        <w:t xml:space="preserve">degree (y axis), forming wider groups as the y axis ascends. Finally, each group of provinces </w:t>
      </w:r>
      <w:r w:rsidR="002B68C9">
        <w:t xml:space="preserve">conforms the branch and leaf of a tree. </w:t>
      </w:r>
      <w:r w:rsidR="00032C0A">
        <w:t>The colors used to label communities are the same than in the main paper, this is</w:t>
      </w:r>
      <w:r w:rsidR="00A37928">
        <w:t xml:space="preserve">, from left to right: south, north-east, </w:t>
      </w:r>
      <w:r w:rsidR="00BE78BB">
        <w:t>Canary Islands</w:t>
      </w:r>
      <w:r w:rsidR="00A37928">
        <w:t xml:space="preserve">, </w:t>
      </w:r>
      <w:r w:rsidR="005B338D">
        <w:t xml:space="preserve">north-west, north, central-east and central-west </w:t>
      </w:r>
      <w:r w:rsidR="00BE78BB">
        <w:t>communities</w:t>
      </w:r>
      <w:r w:rsidR="005B338D">
        <w:t xml:space="preserve"> </w:t>
      </w:r>
    </w:p>
    <w:p w14:paraId="112A9645" w14:textId="03E464D0" w:rsidR="00443282" w:rsidRDefault="002B68C9" w:rsidP="00252A06">
      <w:pPr>
        <w:pStyle w:val="Textoindependiente"/>
        <w:spacing w:line="360" w:lineRule="auto"/>
        <w:jc w:val="both"/>
      </w:pPr>
      <w:r>
        <w:t>From the dendrogram</w:t>
      </w:r>
      <w:r w:rsidR="00BE78BB">
        <w:t xml:space="preserve"> we can </w:t>
      </w:r>
      <w:r w:rsidR="008F0F6F">
        <w:t xml:space="preserve">derive some conclusions: first of all, the south community is </w:t>
      </w:r>
      <w:r w:rsidR="005903EA">
        <w:t xml:space="preserve">differentiated from the rest of the network. </w:t>
      </w:r>
      <w:r w:rsidR="00023AD0">
        <w:t xml:space="preserve">Only two provinces </w:t>
      </w:r>
      <w:r w:rsidR="00DE5503">
        <w:t>bridge</w:t>
      </w:r>
      <w:r w:rsidR="00BD7133">
        <w:t xml:space="preserve"> the south community with the network, and it is the biggest community (12 members,</w:t>
      </w:r>
      <w:r w:rsidR="00366EB5">
        <w:t>)</w:t>
      </w:r>
      <w:r w:rsidR="00DE5503">
        <w:t xml:space="preserve"> which makes this community one of the most </w:t>
      </w:r>
      <w:r w:rsidR="005B6147">
        <w:t xml:space="preserve">independent and </w:t>
      </w:r>
      <w:r w:rsidR="005276A3">
        <w:t xml:space="preserve">difficult to reach from any point of the network. It is no surprise that </w:t>
      </w:r>
      <w:r w:rsidR="00DF7D89">
        <w:t>7 provinces of this community score higher in betweenness, since</w:t>
      </w:r>
      <w:r w:rsidR="00877B67">
        <w:t xml:space="preserve"> travelling (in and out) is very costly in terms of number of steps. </w:t>
      </w:r>
    </w:p>
    <w:p w14:paraId="19964093" w14:textId="09EE44ED" w:rsidR="002919AC" w:rsidRDefault="002919AC" w:rsidP="00252A06">
      <w:pPr>
        <w:pStyle w:val="Textoindependiente"/>
        <w:spacing w:line="360" w:lineRule="auto"/>
        <w:jc w:val="both"/>
      </w:pPr>
      <w:r>
        <w:t>The second main branch, encompassing the rest of the provinces, is first split up leaving the north-east community</w:t>
      </w:r>
      <w:r w:rsidR="004E0F41">
        <w:t xml:space="preserve"> as an independent group. This region</w:t>
      </w:r>
      <w:r w:rsidR="004F7D72">
        <w:t xml:space="preserve"> has some differential properties </w:t>
      </w:r>
      <w:r w:rsidR="006B03E9">
        <w:t>i.e.,</w:t>
      </w:r>
      <w:r w:rsidR="004F7D72">
        <w:t xml:space="preserve"> no clear mobility hub emerges (not even Barcelona, 2</w:t>
      </w:r>
      <w:r w:rsidR="004F7D72" w:rsidRPr="004F7D72">
        <w:rPr>
          <w:vertAlign w:val="superscript"/>
        </w:rPr>
        <w:t>nd</w:t>
      </w:r>
      <w:r w:rsidR="004F7D72">
        <w:t xml:space="preserve"> largest city in Spain), </w:t>
      </w:r>
      <w:r w:rsidR="006B03E9">
        <w:t xml:space="preserve">but a rather horizontal relation between all provinces emerges. </w:t>
      </w:r>
    </w:p>
    <w:p w14:paraId="0FB192D1" w14:textId="7688631C" w:rsidR="006B03E9" w:rsidRDefault="006B03E9" w:rsidP="00252A06">
      <w:pPr>
        <w:pStyle w:val="Textoindependiente"/>
        <w:spacing w:line="360" w:lineRule="auto"/>
        <w:jc w:val="both"/>
      </w:pPr>
      <w:r>
        <w:t xml:space="preserve">Finally, the las two branches, central east and west, even </w:t>
      </w:r>
      <w:r w:rsidR="001A03BE">
        <w:t xml:space="preserve">forming two groups, share a high degree of similarity and remain utterly proximal. It could barely conform </w:t>
      </w:r>
      <w:proofErr w:type="gramStart"/>
      <w:r w:rsidR="001A03BE">
        <w:t>an</w:t>
      </w:r>
      <w:proofErr w:type="gramEnd"/>
      <w:r w:rsidR="001A03BE">
        <w:t xml:space="preserve"> unique group. Indeed, </w:t>
      </w:r>
      <w:r w:rsidR="00B72989">
        <w:t xml:space="preserve">if we look at figure 5 in the main text, these two communities have the lesser mean differences </w:t>
      </w:r>
      <w:r w:rsidR="004349DD">
        <w:t>in CI14 curves between its members and the rest. Encompassing most of the peninsula</w:t>
      </w:r>
      <w:r w:rsidR="00363196">
        <w:t xml:space="preserve"> and many different regions, it points towards a differentiated dynamic when compared with the rest.</w:t>
      </w:r>
    </w:p>
    <w:p w14:paraId="1132F550" w14:textId="60FD718F" w:rsidR="00B1039B" w:rsidRPr="00BE78BB" w:rsidRDefault="00B1039B" w:rsidP="00363196">
      <w:pPr>
        <w:pStyle w:val="Textoindependiente"/>
        <w:spacing w:line="360" w:lineRule="auto"/>
        <w:jc w:val="center"/>
        <w:rPr>
          <w:b/>
          <w:bCs/>
        </w:rPr>
      </w:pPr>
      <w:r w:rsidRPr="00BE78BB">
        <w:rPr>
          <w:b/>
          <w:bCs/>
        </w:rPr>
        <w:t>Fig S6. Hierarchical clustering dendrogram</w:t>
      </w:r>
      <w:r w:rsidR="007E67FF" w:rsidRPr="00BE78BB">
        <w:rPr>
          <w:b/>
          <w:bCs/>
        </w:rPr>
        <w:t xml:space="preserve"> from the ED</w:t>
      </w:r>
    </w:p>
    <w:p w14:paraId="2B1B2459" w14:textId="5132A892" w:rsidR="007B1A51" w:rsidRDefault="00BE78BB" w:rsidP="007B1A51">
      <w:pPr>
        <w:pStyle w:val="Textoindependiente"/>
        <w:spacing w:line="360" w:lineRule="auto"/>
        <w:jc w:val="both"/>
        <w:rPr>
          <w:rFonts w:asciiTheme="majorHAnsi" w:eastAsiaTheme="majorEastAsia" w:hAnsiTheme="majorHAnsi" w:cstheme="majorBidi"/>
          <w:b/>
          <w:bCs/>
          <w:color w:val="4F81BD" w:themeColor="accent1"/>
        </w:rPr>
      </w:pPr>
      <w:r>
        <w:rPr>
          <w:rFonts w:asciiTheme="majorHAnsi" w:eastAsiaTheme="majorEastAsia" w:hAnsiTheme="majorHAnsi" w:cstheme="majorBidi"/>
          <w:b/>
          <w:bCs/>
          <w:noProof/>
          <w:color w:val="4F81BD" w:themeColor="accent1"/>
          <w:lang w:val="es-ES" w:eastAsia="es-ES"/>
        </w:rPr>
        <w:lastRenderedPageBreak/>
        <w:drawing>
          <wp:inline distT="0" distB="0" distL="0" distR="0" wp14:anchorId="2F872EDE" wp14:editId="0F2673BC">
            <wp:extent cx="5607050" cy="2933065"/>
            <wp:effectExtent l="0" t="0" r="0" b="63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07050" cy="2933065"/>
                    </a:xfrm>
                    <a:prstGeom prst="rect">
                      <a:avLst/>
                    </a:prstGeom>
                    <a:noFill/>
                    <a:ln>
                      <a:noFill/>
                    </a:ln>
                  </pic:spPr>
                </pic:pic>
              </a:graphicData>
            </a:graphic>
          </wp:inline>
        </w:drawing>
      </w:r>
    </w:p>
    <w:p w14:paraId="6740132B" w14:textId="77777777" w:rsidR="000C3D40" w:rsidRDefault="000C3D40" w:rsidP="007B1A51">
      <w:pPr>
        <w:pStyle w:val="Textoindependiente"/>
        <w:spacing w:line="360" w:lineRule="auto"/>
        <w:jc w:val="both"/>
        <w:rPr>
          <w:rFonts w:asciiTheme="majorHAnsi" w:eastAsiaTheme="majorEastAsia" w:hAnsiTheme="majorHAnsi" w:cstheme="majorBidi"/>
          <w:b/>
          <w:bCs/>
          <w:color w:val="4F81BD" w:themeColor="accent1"/>
        </w:rPr>
      </w:pPr>
    </w:p>
    <w:p w14:paraId="60422AC5" w14:textId="77777777" w:rsidR="00094B33" w:rsidRPr="007B1A51" w:rsidRDefault="00094B33" w:rsidP="007B1A51">
      <w:pPr>
        <w:pStyle w:val="Textoindependiente"/>
        <w:spacing w:line="360" w:lineRule="auto"/>
        <w:jc w:val="both"/>
        <w:rPr>
          <w:rFonts w:asciiTheme="majorHAnsi" w:eastAsiaTheme="majorEastAsia" w:hAnsiTheme="majorHAnsi" w:cstheme="majorBidi"/>
          <w:b/>
          <w:bCs/>
          <w:color w:val="4F81BD" w:themeColor="accent1"/>
        </w:rPr>
      </w:pPr>
    </w:p>
    <w:sectPr w:rsidR="00094B33" w:rsidRPr="007B1A51" w:rsidSect="002D417C">
      <w:pgSz w:w="12240" w:h="15840"/>
      <w:pgMar w:top="1417" w:right="1701" w:bottom="1417" w:left="170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C54A8" w14:textId="77777777" w:rsidR="00432040" w:rsidRDefault="00432040">
      <w:pPr>
        <w:spacing w:after="0"/>
      </w:pPr>
      <w:r>
        <w:separator/>
      </w:r>
    </w:p>
  </w:endnote>
  <w:endnote w:type="continuationSeparator" w:id="0">
    <w:p w14:paraId="5F7F82E5" w14:textId="77777777" w:rsidR="00432040" w:rsidRDefault="0043204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6FDDE" w14:textId="77777777" w:rsidR="00432040" w:rsidRDefault="00432040">
      <w:r>
        <w:separator/>
      </w:r>
    </w:p>
  </w:footnote>
  <w:footnote w:type="continuationSeparator" w:id="0">
    <w:p w14:paraId="634DBACC" w14:textId="77777777" w:rsidR="00432040" w:rsidRDefault="004320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C0451"/>
    <w:multiLevelType w:val="hybridMultilevel"/>
    <w:tmpl w:val="FFFFFFFF"/>
    <w:lvl w:ilvl="0" w:tplc="8AC071BC">
      <w:start w:val="1"/>
      <w:numFmt w:val="decimal"/>
      <w:lvlText w:val="(%1)"/>
      <w:lvlJc w:val="left"/>
      <w:pPr>
        <w:ind w:left="780" w:hanging="42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 w15:restartNumberingAfterBreak="0">
    <w:nsid w:val="2C1AE401"/>
    <w:multiLevelType w:val="multilevel"/>
    <w:tmpl w:val="E400579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16cid:durableId="390738697">
    <w:abstractNumId w:val="1"/>
  </w:num>
  <w:num w:numId="2" w16cid:durableId="1963030940">
    <w:abstractNumId w:val="0"/>
  </w:num>
  <w:num w:numId="3" w16cid:durableId="16194877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610D"/>
    <w:rsid w:val="000113BB"/>
    <w:rsid w:val="00011C8B"/>
    <w:rsid w:val="00023AD0"/>
    <w:rsid w:val="00027C20"/>
    <w:rsid w:val="000321B5"/>
    <w:rsid w:val="00032C0A"/>
    <w:rsid w:val="0004497C"/>
    <w:rsid w:val="0004700F"/>
    <w:rsid w:val="000743E4"/>
    <w:rsid w:val="00087F5E"/>
    <w:rsid w:val="00094B33"/>
    <w:rsid w:val="000A1161"/>
    <w:rsid w:val="000B659B"/>
    <w:rsid w:val="000C2573"/>
    <w:rsid w:val="000C3D40"/>
    <w:rsid w:val="000D49EA"/>
    <w:rsid w:val="000D6741"/>
    <w:rsid w:val="000D7D85"/>
    <w:rsid w:val="00105A0A"/>
    <w:rsid w:val="00117E6B"/>
    <w:rsid w:val="00122E89"/>
    <w:rsid w:val="00160EA2"/>
    <w:rsid w:val="0017227B"/>
    <w:rsid w:val="001727D7"/>
    <w:rsid w:val="00193A1D"/>
    <w:rsid w:val="001A03BE"/>
    <w:rsid w:val="001A145E"/>
    <w:rsid w:val="001C4CDC"/>
    <w:rsid w:val="001D16B5"/>
    <w:rsid w:val="001E1A55"/>
    <w:rsid w:val="002259D6"/>
    <w:rsid w:val="00252A06"/>
    <w:rsid w:val="002563DD"/>
    <w:rsid w:val="0027093C"/>
    <w:rsid w:val="00277A7B"/>
    <w:rsid w:val="00287AF3"/>
    <w:rsid w:val="002919AC"/>
    <w:rsid w:val="002943E7"/>
    <w:rsid w:val="002B44D7"/>
    <w:rsid w:val="002B68C9"/>
    <w:rsid w:val="002B7564"/>
    <w:rsid w:val="002C7379"/>
    <w:rsid w:val="002D06F9"/>
    <w:rsid w:val="002D0F70"/>
    <w:rsid w:val="002D417C"/>
    <w:rsid w:val="002F0895"/>
    <w:rsid w:val="0030222F"/>
    <w:rsid w:val="00304BA2"/>
    <w:rsid w:val="0031493C"/>
    <w:rsid w:val="0034082B"/>
    <w:rsid w:val="00341854"/>
    <w:rsid w:val="003436B3"/>
    <w:rsid w:val="00345466"/>
    <w:rsid w:val="00345F1E"/>
    <w:rsid w:val="003475C0"/>
    <w:rsid w:val="00347C16"/>
    <w:rsid w:val="00356501"/>
    <w:rsid w:val="00363196"/>
    <w:rsid w:val="00365CB9"/>
    <w:rsid w:val="00366EB5"/>
    <w:rsid w:val="00373B95"/>
    <w:rsid w:val="0038116D"/>
    <w:rsid w:val="003945A9"/>
    <w:rsid w:val="003A5F03"/>
    <w:rsid w:val="003B3B22"/>
    <w:rsid w:val="003B4539"/>
    <w:rsid w:val="003D4A3B"/>
    <w:rsid w:val="003E1C11"/>
    <w:rsid w:val="00415261"/>
    <w:rsid w:val="00416701"/>
    <w:rsid w:val="00417666"/>
    <w:rsid w:val="0042006F"/>
    <w:rsid w:val="00423A08"/>
    <w:rsid w:val="00432040"/>
    <w:rsid w:val="004349DD"/>
    <w:rsid w:val="00443282"/>
    <w:rsid w:val="004576F9"/>
    <w:rsid w:val="00465058"/>
    <w:rsid w:val="004660F7"/>
    <w:rsid w:val="00480902"/>
    <w:rsid w:val="004809D1"/>
    <w:rsid w:val="00496F39"/>
    <w:rsid w:val="004A7F96"/>
    <w:rsid w:val="004C3AAA"/>
    <w:rsid w:val="004D5292"/>
    <w:rsid w:val="004E0F41"/>
    <w:rsid w:val="004E29B3"/>
    <w:rsid w:val="004F7D72"/>
    <w:rsid w:val="00502C6B"/>
    <w:rsid w:val="00507189"/>
    <w:rsid w:val="005149B4"/>
    <w:rsid w:val="00515F3C"/>
    <w:rsid w:val="0052016E"/>
    <w:rsid w:val="00520A21"/>
    <w:rsid w:val="005276A3"/>
    <w:rsid w:val="005439B6"/>
    <w:rsid w:val="0057388A"/>
    <w:rsid w:val="00580969"/>
    <w:rsid w:val="00582982"/>
    <w:rsid w:val="005903EA"/>
    <w:rsid w:val="00590D07"/>
    <w:rsid w:val="005B338D"/>
    <w:rsid w:val="005B6147"/>
    <w:rsid w:val="005D527C"/>
    <w:rsid w:val="005E2267"/>
    <w:rsid w:val="005F0274"/>
    <w:rsid w:val="00600CD5"/>
    <w:rsid w:val="00603235"/>
    <w:rsid w:val="00612A4D"/>
    <w:rsid w:val="00647986"/>
    <w:rsid w:val="00652FA3"/>
    <w:rsid w:val="00666F63"/>
    <w:rsid w:val="00692FD4"/>
    <w:rsid w:val="006A7448"/>
    <w:rsid w:val="006B03E9"/>
    <w:rsid w:val="006C2986"/>
    <w:rsid w:val="006C5441"/>
    <w:rsid w:val="006D74F2"/>
    <w:rsid w:val="006E6278"/>
    <w:rsid w:val="006F1434"/>
    <w:rsid w:val="006F2723"/>
    <w:rsid w:val="006F5094"/>
    <w:rsid w:val="00703E08"/>
    <w:rsid w:val="00716B10"/>
    <w:rsid w:val="00733E3D"/>
    <w:rsid w:val="00747239"/>
    <w:rsid w:val="00760511"/>
    <w:rsid w:val="0077268A"/>
    <w:rsid w:val="00773579"/>
    <w:rsid w:val="007767AC"/>
    <w:rsid w:val="00784D58"/>
    <w:rsid w:val="007A12A3"/>
    <w:rsid w:val="007A37AF"/>
    <w:rsid w:val="007A3F5B"/>
    <w:rsid w:val="007A702E"/>
    <w:rsid w:val="007B06C6"/>
    <w:rsid w:val="007B1A51"/>
    <w:rsid w:val="007B7143"/>
    <w:rsid w:val="007C68DF"/>
    <w:rsid w:val="007D1402"/>
    <w:rsid w:val="007E1671"/>
    <w:rsid w:val="007E4195"/>
    <w:rsid w:val="007E5BA1"/>
    <w:rsid w:val="007E67FF"/>
    <w:rsid w:val="00866ABA"/>
    <w:rsid w:val="0087463D"/>
    <w:rsid w:val="00876D45"/>
    <w:rsid w:val="00877B67"/>
    <w:rsid w:val="0089144B"/>
    <w:rsid w:val="008A49B6"/>
    <w:rsid w:val="008B16C5"/>
    <w:rsid w:val="008B4E1B"/>
    <w:rsid w:val="008C22CD"/>
    <w:rsid w:val="008D6863"/>
    <w:rsid w:val="008E06BA"/>
    <w:rsid w:val="008E4AEB"/>
    <w:rsid w:val="008F0F6F"/>
    <w:rsid w:val="00906C8D"/>
    <w:rsid w:val="00922A0F"/>
    <w:rsid w:val="0093562B"/>
    <w:rsid w:val="009741AF"/>
    <w:rsid w:val="00975AB9"/>
    <w:rsid w:val="009A09AF"/>
    <w:rsid w:val="009A0C97"/>
    <w:rsid w:val="009A5EBF"/>
    <w:rsid w:val="009B08E7"/>
    <w:rsid w:val="009E414F"/>
    <w:rsid w:val="009F166B"/>
    <w:rsid w:val="00A051CF"/>
    <w:rsid w:val="00A22B7A"/>
    <w:rsid w:val="00A266A8"/>
    <w:rsid w:val="00A26F56"/>
    <w:rsid w:val="00A31362"/>
    <w:rsid w:val="00A37928"/>
    <w:rsid w:val="00A456DE"/>
    <w:rsid w:val="00A46166"/>
    <w:rsid w:val="00A5297C"/>
    <w:rsid w:val="00A877D8"/>
    <w:rsid w:val="00A936DC"/>
    <w:rsid w:val="00A95941"/>
    <w:rsid w:val="00A96D69"/>
    <w:rsid w:val="00AA1852"/>
    <w:rsid w:val="00AB1101"/>
    <w:rsid w:val="00AB19E0"/>
    <w:rsid w:val="00AD4B47"/>
    <w:rsid w:val="00AE4C9D"/>
    <w:rsid w:val="00AF278C"/>
    <w:rsid w:val="00B1039B"/>
    <w:rsid w:val="00B1236B"/>
    <w:rsid w:val="00B21BB8"/>
    <w:rsid w:val="00B37201"/>
    <w:rsid w:val="00B40788"/>
    <w:rsid w:val="00B44AF6"/>
    <w:rsid w:val="00B57A31"/>
    <w:rsid w:val="00B66E9A"/>
    <w:rsid w:val="00B6711A"/>
    <w:rsid w:val="00B72989"/>
    <w:rsid w:val="00B732CB"/>
    <w:rsid w:val="00B77737"/>
    <w:rsid w:val="00B86B75"/>
    <w:rsid w:val="00B95520"/>
    <w:rsid w:val="00B96DFB"/>
    <w:rsid w:val="00BA6470"/>
    <w:rsid w:val="00BB7626"/>
    <w:rsid w:val="00BC48D5"/>
    <w:rsid w:val="00BC749F"/>
    <w:rsid w:val="00BC7DCE"/>
    <w:rsid w:val="00BD7133"/>
    <w:rsid w:val="00BD7B25"/>
    <w:rsid w:val="00BE2125"/>
    <w:rsid w:val="00BE34E1"/>
    <w:rsid w:val="00BE78BB"/>
    <w:rsid w:val="00BF040B"/>
    <w:rsid w:val="00BF7448"/>
    <w:rsid w:val="00C100CD"/>
    <w:rsid w:val="00C17BD6"/>
    <w:rsid w:val="00C36279"/>
    <w:rsid w:val="00C40B8C"/>
    <w:rsid w:val="00C41DFA"/>
    <w:rsid w:val="00C446DA"/>
    <w:rsid w:val="00C575F6"/>
    <w:rsid w:val="00C60725"/>
    <w:rsid w:val="00C76680"/>
    <w:rsid w:val="00CC408E"/>
    <w:rsid w:val="00CE1E92"/>
    <w:rsid w:val="00CF0350"/>
    <w:rsid w:val="00CF42DE"/>
    <w:rsid w:val="00D075FB"/>
    <w:rsid w:val="00D14C60"/>
    <w:rsid w:val="00D27254"/>
    <w:rsid w:val="00D30A43"/>
    <w:rsid w:val="00D344BD"/>
    <w:rsid w:val="00D418B1"/>
    <w:rsid w:val="00D61BAD"/>
    <w:rsid w:val="00D630B6"/>
    <w:rsid w:val="00D76D5C"/>
    <w:rsid w:val="00D77951"/>
    <w:rsid w:val="00D820A9"/>
    <w:rsid w:val="00D9429B"/>
    <w:rsid w:val="00DA5C06"/>
    <w:rsid w:val="00DB20CF"/>
    <w:rsid w:val="00DB55AD"/>
    <w:rsid w:val="00DD1519"/>
    <w:rsid w:val="00DD1DEC"/>
    <w:rsid w:val="00DD3138"/>
    <w:rsid w:val="00DD791A"/>
    <w:rsid w:val="00DE5503"/>
    <w:rsid w:val="00DE60FA"/>
    <w:rsid w:val="00DF3A3C"/>
    <w:rsid w:val="00DF7D89"/>
    <w:rsid w:val="00E05D00"/>
    <w:rsid w:val="00E315A3"/>
    <w:rsid w:val="00E51CA4"/>
    <w:rsid w:val="00E55076"/>
    <w:rsid w:val="00E64437"/>
    <w:rsid w:val="00E677AA"/>
    <w:rsid w:val="00E70ABC"/>
    <w:rsid w:val="00E75197"/>
    <w:rsid w:val="00E92F44"/>
    <w:rsid w:val="00E96502"/>
    <w:rsid w:val="00EC1A7A"/>
    <w:rsid w:val="00ED4A6D"/>
    <w:rsid w:val="00EE01C1"/>
    <w:rsid w:val="00EE361E"/>
    <w:rsid w:val="00EE7883"/>
    <w:rsid w:val="00F000A5"/>
    <w:rsid w:val="00F00D7F"/>
    <w:rsid w:val="00F213DF"/>
    <w:rsid w:val="00F23CCD"/>
    <w:rsid w:val="00F2650C"/>
    <w:rsid w:val="00F33168"/>
    <w:rsid w:val="00F53BD4"/>
    <w:rsid w:val="00F5583B"/>
    <w:rsid w:val="00F5769C"/>
    <w:rsid w:val="00F652B2"/>
    <w:rsid w:val="00F94685"/>
    <w:rsid w:val="00FA440D"/>
    <w:rsid w:val="00FA4AB8"/>
    <w:rsid w:val="00FB36D3"/>
    <w:rsid w:val="00FC0801"/>
    <w:rsid w:val="00FC378A"/>
    <w:rsid w:val="00FE0A1F"/>
    <w:rsid w:val="00FE2CA3"/>
    <w:rsid w:val="00FE4F58"/>
    <w:rsid w:val="00FF7A0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AEC1D"/>
  <w15:docId w15:val="{171ED385-00BC-449D-BE01-C79544D3C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Textoindependiente"/>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Ttulo2">
    <w:name w:val="heading 2"/>
    <w:basedOn w:val="Normal"/>
    <w:next w:val="Textoindependiente"/>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Ttulo3">
    <w:name w:val="heading 3"/>
    <w:basedOn w:val="Normal"/>
    <w:next w:val="Textoindependiente"/>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Textoindependiente"/>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Ttulo5">
    <w:name w:val="heading 5"/>
    <w:basedOn w:val="Normal"/>
    <w:next w:val="Textoindependiente"/>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Ttulo6">
    <w:name w:val="heading 6"/>
    <w:basedOn w:val="Normal"/>
    <w:next w:val="Textoindependiente"/>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Ttulo7">
    <w:name w:val="heading 7"/>
    <w:basedOn w:val="Normal"/>
    <w:next w:val="Textoindependiente"/>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Ttulo8">
    <w:name w:val="heading 8"/>
    <w:basedOn w:val="Normal"/>
    <w:next w:val="Textoindependiente"/>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Ttulo9">
    <w:name w:val="heading 9"/>
    <w:basedOn w:val="Normal"/>
    <w:next w:val="Textoindependiente"/>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qFormat/>
    <w:pPr>
      <w:spacing w:before="180" w:after="180"/>
    </w:pPr>
  </w:style>
  <w:style w:type="paragraph" w:customStyle="1" w:styleId="FirstParagraph">
    <w:name w:val="First Paragraph"/>
    <w:basedOn w:val="Textoindependiente"/>
    <w:next w:val="Textoindependiente"/>
    <w:qFormat/>
  </w:style>
  <w:style w:type="paragraph" w:customStyle="1" w:styleId="Compact">
    <w:name w:val="Compact"/>
    <w:basedOn w:val="Textoindependiente"/>
    <w:qFormat/>
    <w:pPr>
      <w:spacing w:before="36" w:after="36"/>
    </w:pPr>
  </w:style>
  <w:style w:type="paragraph" w:styleId="Ttulo">
    <w:name w:val="Title"/>
    <w:basedOn w:val="Normal"/>
    <w:next w:val="Textoindependiente"/>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tulo">
    <w:name w:val="Subtitle"/>
    <w:basedOn w:val="Ttulo"/>
    <w:next w:val="Textoindependiente"/>
    <w:qFormat/>
    <w:pPr>
      <w:spacing w:before="240"/>
    </w:pPr>
    <w:rPr>
      <w:sz w:val="30"/>
      <w:szCs w:val="30"/>
    </w:rPr>
  </w:style>
  <w:style w:type="paragraph" w:customStyle="1" w:styleId="Author">
    <w:name w:val="Author"/>
    <w:next w:val="Textoindependiente"/>
    <w:qFormat/>
    <w:pPr>
      <w:keepNext/>
      <w:keepLines/>
      <w:jc w:val="center"/>
    </w:pPr>
  </w:style>
  <w:style w:type="paragraph" w:styleId="Fecha">
    <w:name w:val="Date"/>
    <w:next w:val="Textoindependiente"/>
    <w:qFormat/>
    <w:pPr>
      <w:keepNext/>
      <w:keepLines/>
      <w:jc w:val="center"/>
    </w:pPr>
  </w:style>
  <w:style w:type="paragraph" w:customStyle="1" w:styleId="Abstract">
    <w:name w:val="Abstract"/>
    <w:basedOn w:val="Normal"/>
    <w:next w:val="Textoindependiente"/>
    <w:qFormat/>
    <w:pPr>
      <w:keepNext/>
      <w:keepLines/>
      <w:spacing w:before="300" w:after="300"/>
    </w:pPr>
    <w:rPr>
      <w:sz w:val="20"/>
      <w:szCs w:val="20"/>
    </w:rPr>
  </w:style>
  <w:style w:type="paragraph" w:styleId="Bibliografa">
    <w:name w:val="Bibliography"/>
    <w:basedOn w:val="Normal"/>
    <w:qFormat/>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uiPriority w:val="99"/>
    <w:rPr>
      <w:color w:val="4F81BD" w:themeColor="accent1"/>
    </w:rPr>
  </w:style>
  <w:style w:type="paragraph" w:styleId="TtuloTDC">
    <w:name w:val="TOC Heading"/>
    <w:basedOn w:val="Ttulo1"/>
    <w:next w:val="Textoindependiente"/>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character" w:styleId="Refdecomentario">
    <w:name w:val="annotation reference"/>
    <w:basedOn w:val="Fuentedeprrafopredeter"/>
    <w:semiHidden/>
    <w:unhideWhenUsed/>
    <w:rsid w:val="007B7143"/>
    <w:rPr>
      <w:sz w:val="16"/>
      <w:szCs w:val="16"/>
    </w:rPr>
  </w:style>
  <w:style w:type="paragraph" w:styleId="Textocomentario">
    <w:name w:val="annotation text"/>
    <w:basedOn w:val="Normal"/>
    <w:link w:val="TextocomentarioCar"/>
    <w:semiHidden/>
    <w:unhideWhenUsed/>
    <w:rsid w:val="007B7143"/>
    <w:rPr>
      <w:sz w:val="20"/>
      <w:szCs w:val="20"/>
    </w:rPr>
  </w:style>
  <w:style w:type="character" w:customStyle="1" w:styleId="TextocomentarioCar">
    <w:name w:val="Texto comentario Car"/>
    <w:basedOn w:val="Fuentedeprrafopredeter"/>
    <w:link w:val="Textocomentario"/>
    <w:semiHidden/>
    <w:rsid w:val="007B7143"/>
    <w:rPr>
      <w:sz w:val="20"/>
      <w:szCs w:val="20"/>
    </w:rPr>
  </w:style>
  <w:style w:type="paragraph" w:styleId="Asuntodelcomentario">
    <w:name w:val="annotation subject"/>
    <w:basedOn w:val="Textocomentario"/>
    <w:next w:val="Textocomentario"/>
    <w:link w:val="AsuntodelcomentarioCar"/>
    <w:semiHidden/>
    <w:unhideWhenUsed/>
    <w:rsid w:val="007B7143"/>
    <w:rPr>
      <w:b/>
      <w:bCs/>
    </w:rPr>
  </w:style>
  <w:style w:type="character" w:customStyle="1" w:styleId="AsuntodelcomentarioCar">
    <w:name w:val="Asunto del comentario Car"/>
    <w:basedOn w:val="TextocomentarioCar"/>
    <w:link w:val="Asuntodelcomentario"/>
    <w:semiHidden/>
    <w:rsid w:val="007B7143"/>
    <w:rPr>
      <w:b/>
      <w:bCs/>
      <w:sz w:val="20"/>
      <w:szCs w:val="20"/>
    </w:rPr>
  </w:style>
  <w:style w:type="paragraph" w:styleId="Textodeglobo">
    <w:name w:val="Balloon Text"/>
    <w:basedOn w:val="Normal"/>
    <w:link w:val="TextodegloboCar"/>
    <w:semiHidden/>
    <w:unhideWhenUsed/>
    <w:rsid w:val="007E1671"/>
    <w:pPr>
      <w:spacing w:after="0"/>
    </w:pPr>
    <w:rPr>
      <w:rFonts w:ascii="Segoe UI" w:hAnsi="Segoe UI" w:cs="Segoe UI"/>
      <w:sz w:val="18"/>
      <w:szCs w:val="18"/>
    </w:rPr>
  </w:style>
  <w:style w:type="character" w:customStyle="1" w:styleId="TextodegloboCar">
    <w:name w:val="Texto de globo Car"/>
    <w:basedOn w:val="Fuentedeprrafopredeter"/>
    <w:link w:val="Textodeglobo"/>
    <w:semiHidden/>
    <w:rsid w:val="007E1671"/>
    <w:rPr>
      <w:rFonts w:ascii="Segoe UI" w:hAnsi="Segoe UI" w:cs="Segoe UI"/>
      <w:sz w:val="18"/>
      <w:szCs w:val="18"/>
    </w:rPr>
  </w:style>
  <w:style w:type="character" w:styleId="Textodelmarcadordeposicin">
    <w:name w:val="Placeholder Text"/>
    <w:basedOn w:val="Fuentedeprrafopredeter"/>
    <w:semiHidden/>
    <w:rsid w:val="00FC378A"/>
    <w:rPr>
      <w:color w:val="808080"/>
    </w:rPr>
  </w:style>
  <w:style w:type="character" w:styleId="Nmerodelnea">
    <w:name w:val="line number"/>
    <w:basedOn w:val="Fuentedeprrafopredeter"/>
    <w:semiHidden/>
    <w:unhideWhenUsed/>
    <w:rsid w:val="00D77951"/>
  </w:style>
  <w:style w:type="paragraph" w:styleId="Revisin">
    <w:name w:val="Revision"/>
    <w:hidden/>
    <w:semiHidden/>
    <w:rsid w:val="006A7448"/>
    <w:pPr>
      <w:spacing w:after="0"/>
    </w:pPr>
  </w:style>
  <w:style w:type="paragraph" w:styleId="TDC1">
    <w:name w:val="toc 1"/>
    <w:basedOn w:val="Normal"/>
    <w:next w:val="Normal"/>
    <w:autoRedefine/>
    <w:uiPriority w:val="39"/>
    <w:unhideWhenUsed/>
    <w:rsid w:val="00EE01C1"/>
    <w:pPr>
      <w:spacing w:after="100"/>
    </w:pPr>
  </w:style>
  <w:style w:type="paragraph" w:styleId="TDC3">
    <w:name w:val="toc 3"/>
    <w:basedOn w:val="Normal"/>
    <w:next w:val="Normal"/>
    <w:autoRedefine/>
    <w:uiPriority w:val="39"/>
    <w:unhideWhenUsed/>
    <w:rsid w:val="00EE01C1"/>
    <w:pPr>
      <w:spacing w:after="100"/>
      <w:ind w:left="480"/>
    </w:pPr>
  </w:style>
  <w:style w:type="table" w:styleId="Tablaconcuadrcula">
    <w:name w:val="Table Grid"/>
    <w:basedOn w:val="Tablanormal"/>
    <w:uiPriority w:val="39"/>
    <w:rsid w:val="00EE361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2">
    <w:name w:val="toc 2"/>
    <w:basedOn w:val="Normal"/>
    <w:next w:val="Normal"/>
    <w:autoRedefine/>
    <w:uiPriority w:val="39"/>
    <w:unhideWhenUsed/>
    <w:rsid w:val="00094B33"/>
    <w:pPr>
      <w:spacing w:after="100"/>
      <w:ind w:left="240"/>
    </w:pPr>
  </w:style>
  <w:style w:type="paragraph" w:styleId="Prrafodelista">
    <w:name w:val="List Paragraph"/>
    <w:basedOn w:val="Normal"/>
    <w:uiPriority w:val="34"/>
    <w:qFormat/>
    <w:rsid w:val="0030222F"/>
    <w:pPr>
      <w:spacing w:after="160" w:line="259" w:lineRule="auto"/>
      <w:ind w:left="720"/>
      <w:contextualSpacing/>
    </w:pPr>
    <w:rPr>
      <w:rFonts w:eastAsiaTheme="minorEastAsia" w:cs="Times New Roman"/>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9188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videlaguila@gmail.com"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9726B9-979C-4C08-BAEC-8E7ACC2E9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12</Pages>
  <Words>2238</Words>
  <Characters>12315</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Supplmentary Materials: Mobility network</vt:lpstr>
    </vt:vector>
  </TitlesOfParts>
  <Company/>
  <LinksUpToDate>false</LinksUpToDate>
  <CharactersWithSpaces>14524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Supplmentary Materials: Mobility network</dc:title>
  <dc:creator>Nicolás Rosillo Ramírez</dc:creator>
  <cp:keywords/>
  <cp:lastModifiedBy>Javier Del Águila</cp:lastModifiedBy>
  <cp:revision>92</cp:revision>
  <dcterms:created xsi:type="dcterms:W3CDTF">2022-04-10T19:42:00Z</dcterms:created>
  <dcterms:modified xsi:type="dcterms:W3CDTF">2022-07-14T16:42:00Z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word_document</vt:lpwstr>
  </property>
</Properties>
</file>