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T</w:t>
      </w:r>
      <w:r>
        <w:rPr>
          <w:rFonts w:ascii="Times New Roman" w:hAnsi="Times New Roman" w:eastAsia="宋体" w:cs="Times New Roman"/>
          <w:sz w:val="24"/>
        </w:rPr>
        <w:t>able 1 Demographic and epidemiological characteristics of 55 severe and critical COVID-19 patients</w:t>
      </w:r>
    </w:p>
    <w:tbl>
      <w:tblPr>
        <w:tblStyle w:val="3"/>
        <w:tblW w:w="0" w:type="auto"/>
        <w:jc w:val="center"/>
        <w:tblBorders>
          <w:top w:val="single" w:color="000000" w:themeColor="text1" w:sz="12" w:space="0"/>
          <w:left w:val="none" w:color="auto" w:sz="0" w:space="0"/>
          <w:bottom w:val="single" w:color="000000" w:themeColor="text1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23"/>
        <w:gridCol w:w="2233"/>
      </w:tblGrid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723" w:type="dxa"/>
            <w:tcBorders>
              <w:bottom w:val="single" w:color="000000" w:themeColor="text1" w:sz="12" w:space="0"/>
            </w:tcBorders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Content</w:t>
            </w:r>
          </w:p>
        </w:tc>
        <w:tc>
          <w:tcPr>
            <w:tcW w:w="2233" w:type="dxa"/>
            <w:tcBorders>
              <w:bottom w:val="single" w:color="000000" w:themeColor="text1" w:sz="12" w:space="0"/>
            </w:tcBorders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Cases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(n=55)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op w:val="single" w:color="000000" w:themeColor="text1" w:sz="12" w:space="0"/>
              <w:bottom w:val="nil"/>
            </w:tcBorders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Age</w:t>
            </w:r>
            <w:r>
              <w:rPr>
                <w:rFonts w:ascii="Times New Roman" w:hAnsi="Times New Roman" w:eastAsia="宋体" w:cs="Times New Roman"/>
                <w:sz w:val="24"/>
              </w:rPr>
              <w:t>（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years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old</w:t>
            </w:r>
            <w:r>
              <w:rPr>
                <w:rFonts w:ascii="Times New Roman" w:hAnsi="Times New Roman" w:eastAsia="宋体" w:cs="Times New Roman"/>
                <w:sz w:val="24"/>
              </w:rPr>
              <w:t>）</w:t>
            </w:r>
          </w:p>
        </w:tc>
        <w:tc>
          <w:tcPr>
            <w:tcW w:w="2233" w:type="dxa"/>
            <w:tcBorders>
              <w:top w:val="single" w:color="000000" w:themeColor="text1" w:sz="12" w:space="0"/>
              <w:bottom w:val="nil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op w:val="nil"/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Average</w:t>
            </w:r>
            <w:r>
              <w:rPr>
                <w:rFonts w:ascii="Times New Roman" w:hAnsi="Times New Roman" w:eastAsia="宋体" w:cs="Times New Roman"/>
                <w:sz w:val="24"/>
              </w:rPr>
              <w:t>（Standard deviation）</w:t>
            </w:r>
          </w:p>
        </w:tc>
        <w:tc>
          <w:tcPr>
            <w:tcW w:w="2233" w:type="dxa"/>
            <w:tcBorders>
              <w:top w:val="nil"/>
              <w:tl2br w:val="nil"/>
              <w:tr2bl w:val="nil"/>
            </w:tcBorders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63.0(15.2)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op w:val="nil"/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Range</w:t>
            </w:r>
          </w:p>
        </w:tc>
        <w:tc>
          <w:tcPr>
            <w:tcW w:w="2233" w:type="dxa"/>
            <w:tcBorders>
              <w:top w:val="nil"/>
              <w:tl2br w:val="nil"/>
              <w:tr2bl w:val="nil"/>
            </w:tcBorders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29-92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≤40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5(9.1%)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41-50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6(10.9%)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51-60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10(18.2%)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61-70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17(30.9%)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71-80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8(14.5%)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≥81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9(16.4%)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Gender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Male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35(63.6%)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tabs>
                <w:tab w:val="left" w:pos="1487"/>
              </w:tabs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Female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20(36.4%)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B</w:t>
            </w:r>
            <w:r>
              <w:rPr>
                <w:rFonts w:ascii="Times New Roman" w:hAnsi="Times New Roman" w:eastAsia="宋体" w:cs="Times New Roman"/>
                <w:sz w:val="24"/>
              </w:rPr>
              <w:t>ody mass index (kg/m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2</w:t>
            </w:r>
            <w:r>
              <w:rPr>
                <w:rFonts w:ascii="Times New Roman" w:hAnsi="Times New Roman" w:eastAsia="宋体" w:cs="Times New Roman"/>
                <w:sz w:val="24"/>
              </w:rPr>
              <w:t>)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tabs>
                <w:tab w:val="left" w:pos="1487"/>
              </w:tabs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&lt;18.5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2(3.6%)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tabs>
                <w:tab w:val="left" w:pos="1487"/>
              </w:tabs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18.5-23.9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31(56.4%)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tabs>
                <w:tab w:val="left" w:pos="1487"/>
              </w:tabs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24.0-27.9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18(32.7%)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tabs>
                <w:tab w:val="left" w:pos="1487"/>
              </w:tabs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≥28.0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tabs>
                <w:tab w:val="center" w:pos="2083"/>
                <w:tab w:val="left" w:pos="2849"/>
              </w:tabs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4(7.3%)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O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ccupation 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R</w:t>
            </w:r>
            <w:r>
              <w:rPr>
                <w:rFonts w:ascii="Times New Roman" w:hAnsi="Times New Roman" w:eastAsia="宋体" w:cs="Times New Roman"/>
                <w:sz w:val="24"/>
              </w:rPr>
              <w:t>etirement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34(61.8%)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Staff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10(18.2%)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Medical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staff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3(5.5%)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Others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8(14.5%)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Comorbidities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H</w:t>
            </w:r>
            <w:r>
              <w:rPr>
                <w:rFonts w:ascii="Times New Roman" w:hAnsi="Times New Roman" w:eastAsia="宋体" w:cs="Times New Roman"/>
                <w:sz w:val="24"/>
              </w:rPr>
              <w:t>ypertension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26(47.3%)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D</w:t>
            </w:r>
            <w:r>
              <w:rPr>
                <w:rFonts w:ascii="Times New Roman" w:hAnsi="Times New Roman" w:eastAsia="宋体" w:cs="Times New Roman"/>
                <w:sz w:val="24"/>
              </w:rPr>
              <w:t>iabetes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12(21.8%)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tabs>
                <w:tab w:val="left" w:pos="2659"/>
              </w:tabs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C</w:t>
            </w:r>
            <w:r>
              <w:rPr>
                <w:rFonts w:ascii="Times New Roman" w:hAnsi="Times New Roman" w:eastAsia="宋体" w:cs="Times New Roman"/>
                <w:sz w:val="24"/>
              </w:rPr>
              <w:t>oronary disease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10(18.2%)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Malignan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t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tumor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7(12.7%)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left="479" w:leftChars="228" w:firstLine="0" w:firstLineChars="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Chronic obstructive pulmonary disease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6(10.9%)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No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underlying disease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14(25.5%)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Contact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history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left="479" w:leftChars="228" w:firstLine="0" w:firstLineChars="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Been to South China Seafood Market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2(3.6%)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left="479" w:leftChars="228" w:firstLine="0" w:firstLineChars="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Been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to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vegetable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market </w:t>
            </w:r>
            <w:r>
              <w:rPr>
                <w:rFonts w:ascii="Times New Roman" w:hAnsi="Times New Roman" w:eastAsia="宋体" w:cs="Times New Roman"/>
                <w:sz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not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South China Seafood Market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）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4(7.3%)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COVID-19 patient history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7(12.7%)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No clear contact history</w:t>
            </w:r>
          </w:p>
        </w:tc>
        <w:tc>
          <w:tcPr>
            <w:tcW w:w="223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42(76.4%)</w:t>
            </w:r>
          </w:p>
        </w:tc>
      </w:tr>
    </w:tbl>
    <w:p/>
    <w:p/>
    <w:p/>
    <w:p>
      <w:pPr>
        <w:spacing w:line="400" w:lineRule="exact"/>
        <w:jc w:val="center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T</w:t>
      </w:r>
      <w:r>
        <w:rPr>
          <w:rFonts w:ascii="Times New Roman" w:hAnsi="Times New Roman" w:eastAsia="宋体" w:cs="Times New Roman"/>
          <w:sz w:val="24"/>
        </w:rPr>
        <w:t>able 2 Clinical characteristics of patients</w:t>
      </w:r>
    </w:p>
    <w:tbl>
      <w:tblPr>
        <w:tblStyle w:val="3"/>
        <w:tblW w:w="0" w:type="auto"/>
        <w:jc w:val="center"/>
        <w:tblBorders>
          <w:top w:val="single" w:color="000000" w:themeColor="text1" w:sz="12" w:space="0"/>
          <w:left w:val="none" w:color="auto" w:sz="0" w:space="0"/>
          <w:bottom w:val="single" w:color="000000" w:themeColor="text1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3"/>
        <w:gridCol w:w="1991"/>
      </w:tblGrid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3" w:type="dxa"/>
            <w:tcBorders>
              <w:bottom w:val="single" w:color="000000" w:sz="12" w:space="0"/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Content</w:t>
            </w:r>
          </w:p>
        </w:tc>
        <w:tc>
          <w:tcPr>
            <w:tcW w:w="1991" w:type="dxa"/>
            <w:tcBorders>
              <w:bottom w:val="single" w:color="000000" w:sz="12" w:space="0"/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C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ases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(n=55)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3" w:type="dxa"/>
            <w:tcBorders>
              <w:top w:val="single" w:color="000000" w:sz="12" w:space="0"/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First symptom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s</w:t>
            </w:r>
          </w:p>
        </w:tc>
        <w:tc>
          <w:tcPr>
            <w:tcW w:w="1991" w:type="dxa"/>
            <w:tcBorders>
              <w:top w:val="single" w:color="000000" w:sz="12" w:space="0"/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F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ever</w:t>
            </w:r>
          </w:p>
        </w:tc>
        <w:tc>
          <w:tcPr>
            <w:tcW w:w="1991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36(65.5%)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C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ough</w:t>
            </w:r>
          </w:p>
        </w:tc>
        <w:tc>
          <w:tcPr>
            <w:tcW w:w="1991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11(20.0%) 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F</w:t>
            </w:r>
            <w:r>
              <w:rPr>
                <w:rFonts w:ascii="Times New Roman" w:hAnsi="Times New Roman" w:eastAsia="宋体" w:cs="Times New Roman"/>
                <w:sz w:val="24"/>
              </w:rPr>
              <w:t>atigue</w:t>
            </w:r>
          </w:p>
        </w:tc>
        <w:tc>
          <w:tcPr>
            <w:tcW w:w="1991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13(23.6%) 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D</w:t>
            </w:r>
            <w:r>
              <w:rPr>
                <w:rFonts w:ascii="Times New Roman" w:hAnsi="Times New Roman" w:eastAsia="宋体" w:cs="Times New Roman"/>
                <w:sz w:val="24"/>
              </w:rPr>
              <w:t>iarrhea</w:t>
            </w:r>
          </w:p>
        </w:tc>
        <w:tc>
          <w:tcPr>
            <w:tcW w:w="1991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1(1.8%)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D</w:t>
            </w:r>
            <w:r>
              <w:rPr>
                <w:rFonts w:ascii="Times New Roman" w:hAnsi="Times New Roman" w:eastAsia="宋体" w:cs="Times New Roman"/>
                <w:sz w:val="24"/>
              </w:rPr>
              <w:t>yspnea</w:t>
            </w:r>
          </w:p>
        </w:tc>
        <w:tc>
          <w:tcPr>
            <w:tcW w:w="1991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3(5.5%) 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Peak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body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temperature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(</w:t>
            </w:r>
            <w:r>
              <w:rPr>
                <w:rFonts w:ascii="Cambria Math" w:hAnsi="Cambria Math" w:eastAsia="宋体" w:cs="Cambria Math"/>
                <w:sz w:val="24"/>
              </w:rPr>
              <w:t>℃</w:t>
            </w:r>
            <w:r>
              <w:rPr>
                <w:rFonts w:ascii="Times New Roman" w:hAnsi="Times New Roman" w:eastAsia="宋体" w:cs="Times New Roman"/>
                <w:sz w:val="24"/>
              </w:rPr>
              <w:t>)</w:t>
            </w:r>
          </w:p>
        </w:tc>
        <w:tc>
          <w:tcPr>
            <w:tcW w:w="1991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T&lt;38.5</w:t>
            </w:r>
          </w:p>
        </w:tc>
        <w:tc>
          <w:tcPr>
            <w:tcW w:w="1991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11(20.0%)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T≥38.5</w:t>
            </w:r>
          </w:p>
        </w:tc>
        <w:tc>
          <w:tcPr>
            <w:tcW w:w="1991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43(78.2%)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N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o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fever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</w:t>
            </w:r>
          </w:p>
        </w:tc>
        <w:tc>
          <w:tcPr>
            <w:tcW w:w="1991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1(1.8%) 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SOFA score (points) when entering ICU</w:t>
            </w:r>
          </w:p>
        </w:tc>
        <w:tc>
          <w:tcPr>
            <w:tcW w:w="1991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5(4-7)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APACHEII score (points) when entering ICU</w:t>
            </w:r>
          </w:p>
        </w:tc>
        <w:tc>
          <w:tcPr>
            <w:tcW w:w="1991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17(11-27)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Tracheal intubation patient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s</w:t>
            </w:r>
          </w:p>
        </w:tc>
        <w:tc>
          <w:tcPr>
            <w:tcW w:w="1991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9</w:t>
            </w:r>
            <w:r>
              <w:rPr>
                <w:rFonts w:ascii="Times New Roman" w:hAnsi="Times New Roman" w:eastAsia="宋体" w:cs="Times New Roman"/>
                <w:sz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52.7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%) 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Time from onset to tracheal intubation (days)</w:t>
            </w:r>
          </w:p>
        </w:tc>
        <w:tc>
          <w:tcPr>
            <w:tcW w:w="1991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11.3(5.4)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Time from onset to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</w:rPr>
              <w:t>ICU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admission(days)</w:t>
            </w:r>
          </w:p>
        </w:tc>
        <w:tc>
          <w:tcPr>
            <w:tcW w:w="1991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10.5(4.5)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Tracheal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i</w:t>
            </w:r>
            <w:r>
              <w:rPr>
                <w:rFonts w:ascii="Times New Roman" w:hAnsi="Times New Roman" w:eastAsia="宋体" w:cs="Times New Roman"/>
                <w:sz w:val="24"/>
              </w:rPr>
              <w:t>ntubation time (days)</w:t>
            </w:r>
          </w:p>
        </w:tc>
        <w:tc>
          <w:tcPr>
            <w:tcW w:w="1991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6(3-10) 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ICU hospitalization (days)</w:t>
            </w:r>
          </w:p>
        </w:tc>
        <w:tc>
          <w:tcPr>
            <w:tcW w:w="1991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8(5-1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sz w:val="24"/>
              </w:rPr>
              <w:t>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ECMO patients</w:t>
            </w:r>
          </w:p>
        </w:tc>
        <w:tc>
          <w:tcPr>
            <w:tcW w:w="1991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8(14.5%) 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Clinical outcomes on 14</w:t>
            </w:r>
            <w:r>
              <w:rPr>
                <w:rFonts w:ascii="Times New Roman" w:hAnsi="Times New Roman" w:eastAsia="宋体" w:cs="Times New Roman"/>
                <w:sz w:val="24"/>
                <w:vertAlign w:val="baseline"/>
              </w:rPr>
              <w:t>th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day of ICU admission</w:t>
            </w:r>
          </w:p>
        </w:tc>
        <w:tc>
          <w:tcPr>
            <w:tcW w:w="1991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C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Improvement</w:t>
            </w:r>
          </w:p>
        </w:tc>
        <w:tc>
          <w:tcPr>
            <w:tcW w:w="1991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color w:val="C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C00000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31</w:t>
            </w:r>
            <w:r>
              <w:rPr>
                <w:rFonts w:ascii="Times New Roman" w:hAnsi="Times New Roman" w:eastAsia="宋体" w:cs="Times New Roman"/>
                <w:sz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56.4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Deadlock</w:t>
            </w:r>
          </w:p>
        </w:tc>
        <w:tc>
          <w:tcPr>
            <w:tcW w:w="1991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color w:val="C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sz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9.1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%) 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D</w:t>
            </w:r>
            <w:r>
              <w:rPr>
                <w:rFonts w:ascii="Times New Roman" w:hAnsi="Times New Roman" w:eastAsia="宋体" w:cs="Times New Roman"/>
                <w:sz w:val="24"/>
              </w:rPr>
              <w:t>eterioration</w:t>
            </w:r>
          </w:p>
        </w:tc>
        <w:tc>
          <w:tcPr>
            <w:tcW w:w="1991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color w:val="C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19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34.5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%) 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3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Final outcome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s</w:t>
            </w:r>
          </w:p>
        </w:tc>
        <w:tc>
          <w:tcPr>
            <w:tcW w:w="1991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Discharged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form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ICU</w:t>
            </w:r>
          </w:p>
        </w:tc>
        <w:tc>
          <w:tcPr>
            <w:tcW w:w="1991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3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6</w:t>
            </w:r>
            <w:r>
              <w:rPr>
                <w:rFonts w:ascii="Times New Roman" w:hAnsi="Times New Roman" w:eastAsia="宋体" w:cs="Times New Roman"/>
                <w:sz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65.4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%)  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D</w:t>
            </w:r>
            <w:r>
              <w:rPr>
                <w:rFonts w:ascii="Times New Roman" w:hAnsi="Times New Roman" w:eastAsia="宋体" w:cs="Times New Roman"/>
                <w:sz w:val="24"/>
              </w:rPr>
              <w:t>eath</w:t>
            </w:r>
          </w:p>
        </w:tc>
        <w:tc>
          <w:tcPr>
            <w:tcW w:w="1991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12</w:t>
            </w:r>
            <w:r>
              <w:rPr>
                <w:rFonts w:ascii="Times New Roman" w:hAnsi="Times New Roman" w:eastAsia="宋体" w:cs="Times New Roman"/>
                <w:sz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21.8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3" w:type="dxa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S</w:t>
            </w:r>
            <w:r>
              <w:rPr>
                <w:rFonts w:ascii="Times New Roman" w:hAnsi="Times New Roman" w:eastAsia="宋体" w:cs="Times New Roman"/>
                <w:sz w:val="24"/>
              </w:rPr>
              <w:t>till in ICU</w:t>
            </w:r>
          </w:p>
        </w:tc>
        <w:tc>
          <w:tcPr>
            <w:tcW w:w="1991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7</w:t>
            </w:r>
            <w:r>
              <w:rPr>
                <w:rFonts w:ascii="Times New Roman" w:hAnsi="Times New Roman" w:eastAsia="宋体" w:cs="Times New Roman"/>
                <w:sz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12.7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</w:tr>
    </w:tbl>
    <w:p/>
    <w:p/>
    <w:p>
      <w:pPr>
        <w:widowControl/>
        <w:spacing w:line="400" w:lineRule="exact"/>
        <w:ind w:firstLine="480" w:firstLineChars="200"/>
        <w:rPr>
          <w:rFonts w:ascii="Times New Roman" w:hAnsi="Times New Roman" w:eastAsia="宋体" w:cs="Times New Roman"/>
          <w:sz w:val="24"/>
        </w:rPr>
      </w:pPr>
    </w:p>
    <w:p>
      <w:pPr>
        <w:widowControl/>
        <w:spacing w:line="400" w:lineRule="exact"/>
        <w:jc w:val="center"/>
        <w:rPr>
          <w:rFonts w:hint="eastAsia"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 xml:space="preserve">Table 3 Laboratory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p</w:t>
      </w:r>
      <w:r>
        <w:rPr>
          <w:rFonts w:ascii="Times New Roman" w:hAnsi="Times New Roman" w:eastAsia="宋体" w:cs="Times New Roman"/>
          <w:sz w:val="24"/>
          <w:lang w:val="en-US" w:eastAsia="zh-CN"/>
        </w:rPr>
        <w:t>arameters</w:t>
      </w:r>
      <w:r>
        <w:rPr>
          <w:rFonts w:ascii="Times New Roman" w:hAnsi="Times New Roman" w:eastAsia="宋体" w:cs="Times New Roman"/>
          <w:sz w:val="24"/>
        </w:rPr>
        <w:t xml:space="preserve"> of 55 severe and critical COVID-19 patients</w:t>
      </w:r>
    </w:p>
    <w:tbl>
      <w:tblPr>
        <w:tblStyle w:val="3"/>
        <w:tblW w:w="0" w:type="auto"/>
        <w:jc w:val="center"/>
        <w:tblBorders>
          <w:top w:val="single" w:color="000000" w:themeColor="text1" w:sz="12" w:space="0"/>
          <w:left w:val="none" w:color="auto" w:sz="0" w:space="0"/>
          <w:bottom w:val="single" w:color="000000" w:themeColor="text1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2"/>
        <w:gridCol w:w="1898"/>
      </w:tblGrid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bottom w:val="single" w:color="000000" w:themeColor="text1" w:sz="12" w:space="0"/>
            </w:tcBorders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Content</w:t>
            </w:r>
          </w:p>
        </w:tc>
        <w:tc>
          <w:tcPr>
            <w:tcW w:w="1898" w:type="dxa"/>
            <w:tcBorders>
              <w:bottom w:val="single" w:color="000000" w:themeColor="text1" w:sz="12" w:space="0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Cases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(n=55)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themeColor="text1" w:sz="12" w:space="0"/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Respiratory Pathogen Detection</w:t>
            </w:r>
          </w:p>
        </w:tc>
        <w:tc>
          <w:tcPr>
            <w:tcW w:w="1898" w:type="dxa"/>
            <w:tcBorders>
              <w:top w:val="single" w:color="000000" w:themeColor="text1" w:sz="12" w:space="0"/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Influenza A virus</w:t>
            </w:r>
          </w:p>
        </w:tc>
        <w:tc>
          <w:tcPr>
            <w:tcW w:w="1898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8(14.5%)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Influenza B virus</w:t>
            </w:r>
          </w:p>
        </w:tc>
        <w:tc>
          <w:tcPr>
            <w:tcW w:w="1898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7(12.7%)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H7 bird flu</w:t>
            </w:r>
          </w:p>
        </w:tc>
        <w:tc>
          <w:tcPr>
            <w:tcW w:w="1898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0(0.0%)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White blood cell count（3.5-9.5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</w:rPr>
              <w:t>10*9/L）</w:t>
            </w:r>
          </w:p>
        </w:tc>
        <w:tc>
          <w:tcPr>
            <w:tcW w:w="1898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&lt;3.5</w:t>
            </w:r>
          </w:p>
        </w:tc>
        <w:tc>
          <w:tcPr>
            <w:tcW w:w="1898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18(32.7%)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3.5-9.5</w:t>
            </w:r>
          </w:p>
        </w:tc>
        <w:tc>
          <w:tcPr>
            <w:tcW w:w="1898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25(45.5%)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&gt;9.5</w:t>
            </w:r>
          </w:p>
        </w:tc>
        <w:tc>
          <w:tcPr>
            <w:tcW w:w="1898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12(21.8%)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Lymphocyte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</w:rPr>
              <w:t>count（1.1-3.2  10*9/L）</w:t>
            </w:r>
          </w:p>
        </w:tc>
        <w:tc>
          <w:tcPr>
            <w:tcW w:w="1898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&lt;1.1</w:t>
            </w:r>
          </w:p>
        </w:tc>
        <w:tc>
          <w:tcPr>
            <w:tcW w:w="1898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48(87.3%)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1.1-3.2</w:t>
            </w:r>
          </w:p>
        </w:tc>
        <w:tc>
          <w:tcPr>
            <w:tcW w:w="1898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7(12.7%)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Procalcitonin（ng/ml）</w:t>
            </w:r>
          </w:p>
        </w:tc>
        <w:tc>
          <w:tcPr>
            <w:tcW w:w="1898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≤0.05</w:t>
            </w:r>
          </w:p>
        </w:tc>
        <w:tc>
          <w:tcPr>
            <w:tcW w:w="1898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18(32.7%)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0.05&lt;PCT&lt;1.00</w:t>
            </w:r>
          </w:p>
        </w:tc>
        <w:tc>
          <w:tcPr>
            <w:tcW w:w="1898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29(52.7%)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≥1.00</w:t>
            </w:r>
          </w:p>
        </w:tc>
        <w:tc>
          <w:tcPr>
            <w:tcW w:w="1898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8(14.5%)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Organ dysfunction</w:t>
            </w:r>
          </w:p>
        </w:tc>
        <w:tc>
          <w:tcPr>
            <w:tcW w:w="1898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Acute kidney injury</w:t>
            </w:r>
          </w:p>
        </w:tc>
        <w:tc>
          <w:tcPr>
            <w:tcW w:w="1898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11(20.0%)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Septic shock</w:t>
            </w:r>
          </w:p>
        </w:tc>
        <w:tc>
          <w:tcPr>
            <w:tcW w:w="1898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25(45.5%)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Acute myocardial injury</w:t>
            </w:r>
          </w:p>
        </w:tc>
        <w:tc>
          <w:tcPr>
            <w:tcW w:w="1898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11(20.0%)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Secondary infection</w:t>
            </w:r>
          </w:p>
        </w:tc>
        <w:tc>
          <w:tcPr>
            <w:tcW w:w="1898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19(34.5%)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Sputum culture</w:t>
            </w:r>
          </w:p>
        </w:tc>
        <w:tc>
          <w:tcPr>
            <w:tcW w:w="1898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Acinetobacter baumannii complex</w:t>
            </w:r>
          </w:p>
        </w:tc>
        <w:tc>
          <w:tcPr>
            <w:tcW w:w="1898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10(18.2%)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Candida</w:t>
            </w:r>
          </w:p>
        </w:tc>
        <w:tc>
          <w:tcPr>
            <w:tcW w:w="1898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7(12.7%)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Urine culture</w:t>
            </w:r>
          </w:p>
        </w:tc>
        <w:tc>
          <w:tcPr>
            <w:tcW w:w="1898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Candida</w:t>
            </w:r>
          </w:p>
        </w:tc>
        <w:tc>
          <w:tcPr>
            <w:tcW w:w="1898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5(9.1%)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Blood culture positive</w:t>
            </w:r>
          </w:p>
        </w:tc>
        <w:tc>
          <w:tcPr>
            <w:tcW w:w="1898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4(7.3%)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ARDS classification when entering ICU</w:t>
            </w:r>
          </w:p>
        </w:tc>
        <w:tc>
          <w:tcPr>
            <w:tcW w:w="1898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200&lt;PaO</w:t>
            </w:r>
            <w:r>
              <w:rPr>
                <w:rFonts w:ascii="Times New Roman" w:hAnsi="Times New Roman" w:eastAsia="宋体" w:cs="Times New Roman"/>
                <w:sz w:val="24"/>
                <w:vertAlign w:val="subscript"/>
              </w:rPr>
              <w:t>2</w:t>
            </w:r>
            <w:r>
              <w:rPr>
                <w:rFonts w:ascii="Times New Roman" w:hAnsi="Times New Roman" w:eastAsia="宋体" w:cs="Times New Roman"/>
                <w:sz w:val="24"/>
              </w:rPr>
              <w:t>/FiO</w:t>
            </w:r>
            <w:r>
              <w:rPr>
                <w:rFonts w:ascii="Times New Roman" w:hAnsi="Times New Roman" w:eastAsia="宋体" w:cs="Times New Roman"/>
                <w:sz w:val="24"/>
                <w:vertAlign w:val="subscript"/>
              </w:rPr>
              <w:t>2</w:t>
            </w:r>
            <w:r>
              <w:rPr>
                <w:rFonts w:ascii="Times New Roman" w:hAnsi="Times New Roman" w:eastAsia="宋体" w:cs="Times New Roman"/>
                <w:sz w:val="24"/>
              </w:rPr>
              <w:t>≤300</w:t>
            </w:r>
          </w:p>
        </w:tc>
        <w:tc>
          <w:tcPr>
            <w:tcW w:w="1898" w:type="dxa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16(29.1%)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100&lt;PaO</w:t>
            </w:r>
            <w:r>
              <w:rPr>
                <w:rFonts w:ascii="Times New Roman" w:hAnsi="Times New Roman" w:eastAsia="宋体" w:cs="Times New Roman"/>
                <w:sz w:val="24"/>
                <w:vertAlign w:val="subscript"/>
              </w:rPr>
              <w:t>2</w:t>
            </w:r>
            <w:r>
              <w:rPr>
                <w:rFonts w:ascii="Times New Roman" w:hAnsi="Times New Roman" w:eastAsia="宋体" w:cs="Times New Roman"/>
                <w:sz w:val="24"/>
              </w:rPr>
              <w:t>/FiO</w:t>
            </w:r>
            <w:r>
              <w:rPr>
                <w:rFonts w:ascii="Times New Roman" w:hAnsi="Times New Roman" w:eastAsia="宋体" w:cs="Times New Roman"/>
                <w:sz w:val="24"/>
                <w:vertAlign w:val="subscript"/>
              </w:rPr>
              <w:t>2</w:t>
            </w:r>
            <w:r>
              <w:rPr>
                <w:rFonts w:ascii="Times New Roman" w:hAnsi="Times New Roman" w:eastAsia="宋体" w:cs="Times New Roman"/>
                <w:sz w:val="24"/>
              </w:rPr>
              <w:t>≤200</w:t>
            </w:r>
          </w:p>
        </w:tc>
        <w:tc>
          <w:tcPr>
            <w:tcW w:w="1898" w:type="dxa"/>
            <w:tcBorders>
              <w:tl2br w:val="nil"/>
              <w:tr2bl w:val="nil"/>
            </w:tcBorders>
          </w:tcPr>
          <w:p>
            <w:pPr>
              <w:tabs>
                <w:tab w:val="center" w:pos="2082"/>
                <w:tab w:val="left" w:pos="2668"/>
              </w:tabs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24(43.6%)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PaO</w:t>
            </w:r>
            <w:r>
              <w:rPr>
                <w:rFonts w:ascii="Times New Roman" w:hAnsi="Times New Roman" w:eastAsia="宋体" w:cs="Times New Roman"/>
                <w:sz w:val="24"/>
                <w:vertAlign w:val="subscript"/>
              </w:rPr>
              <w:t>2</w:t>
            </w:r>
            <w:r>
              <w:rPr>
                <w:rFonts w:ascii="Times New Roman" w:hAnsi="Times New Roman" w:eastAsia="宋体" w:cs="Times New Roman"/>
                <w:sz w:val="24"/>
              </w:rPr>
              <w:t>/FiO</w:t>
            </w:r>
            <w:r>
              <w:rPr>
                <w:rFonts w:ascii="Times New Roman" w:hAnsi="Times New Roman" w:eastAsia="宋体" w:cs="Times New Roman"/>
                <w:sz w:val="24"/>
                <w:vertAlign w:val="subscript"/>
              </w:rPr>
              <w:t>2</w:t>
            </w:r>
            <w:r>
              <w:rPr>
                <w:rFonts w:ascii="Times New Roman" w:hAnsi="Times New Roman" w:eastAsia="宋体" w:cs="Times New Roman"/>
                <w:sz w:val="24"/>
              </w:rPr>
              <w:t>≤100</w:t>
            </w:r>
          </w:p>
        </w:tc>
        <w:tc>
          <w:tcPr>
            <w:tcW w:w="1898" w:type="dxa"/>
            <w:tcBorders>
              <w:tl2br w:val="nil"/>
              <w:tr2bl w:val="nil"/>
            </w:tcBorders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15(27.3%)</w:t>
            </w:r>
          </w:p>
        </w:tc>
      </w:tr>
    </w:tbl>
    <w:p/>
    <w:p/>
    <w:p/>
    <w:p>
      <w:pPr>
        <w:spacing w:line="400" w:lineRule="exact"/>
        <w:jc w:val="center"/>
        <w:rPr>
          <w:rFonts w:hint="eastAsia"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Table 4 Comparison of clinical characteristics of improved and deteriorated patients on the 14th day after ICU admission</w:t>
      </w:r>
    </w:p>
    <w:tbl>
      <w:tblPr>
        <w:tblStyle w:val="3"/>
        <w:tblW w:w="4998" w:type="pct"/>
        <w:tblInd w:w="0" w:type="dxa"/>
        <w:tblBorders>
          <w:top w:val="single" w:color="000000" w:themeColor="text1" w:sz="12" w:space="0"/>
          <w:left w:val="none" w:color="auto" w:sz="0" w:space="0"/>
          <w:bottom w:val="single" w:color="000000" w:themeColor="text1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3"/>
        <w:gridCol w:w="2482"/>
        <w:gridCol w:w="2332"/>
        <w:gridCol w:w="992"/>
      </w:tblGrid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bottom w:val="single" w:color="000000" w:themeColor="text1" w:sz="12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56" w:type="pct"/>
            <w:tcBorders>
              <w:bottom w:val="single" w:color="000000" w:themeColor="text1" w:sz="12" w:space="0"/>
            </w:tcBorders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Improved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(n=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31</w:t>
            </w:r>
            <w:r>
              <w:rPr>
                <w:rFonts w:ascii="Times New Roman" w:hAnsi="Times New Roman" w:eastAsia="宋体" w:cs="Times New Roman"/>
                <w:sz w:val="24"/>
              </w:rPr>
              <w:t>)</w:t>
            </w:r>
          </w:p>
        </w:tc>
        <w:tc>
          <w:tcPr>
            <w:tcW w:w="1368" w:type="pct"/>
            <w:tcBorders>
              <w:bottom w:val="single" w:color="000000" w:themeColor="text1" w:sz="12" w:space="0"/>
            </w:tcBorders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D</w:t>
            </w:r>
            <w:r>
              <w:rPr>
                <w:rFonts w:ascii="Times New Roman" w:hAnsi="Times New Roman" w:eastAsia="宋体" w:cs="Times New Roman"/>
                <w:sz w:val="24"/>
              </w:rPr>
              <w:t>eteriorated (n=1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9</w:t>
            </w:r>
            <w:r>
              <w:rPr>
                <w:rFonts w:ascii="Times New Roman" w:hAnsi="Times New Roman" w:eastAsia="宋体" w:cs="Times New Roman"/>
                <w:sz w:val="24"/>
              </w:rPr>
              <w:t>)</w:t>
            </w:r>
          </w:p>
        </w:tc>
        <w:tc>
          <w:tcPr>
            <w:tcW w:w="582" w:type="pct"/>
            <w:tcBorders>
              <w:bottom w:val="single" w:color="000000" w:themeColor="text1" w:sz="12" w:space="0"/>
            </w:tcBorders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op w:val="single" w:color="000000" w:themeColor="text1" w:sz="12" w:space="0"/>
              <w:tl2br w:val="nil"/>
              <w:tr2bl w:val="nil"/>
            </w:tcBorders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Age</w:t>
            </w:r>
          </w:p>
        </w:tc>
        <w:tc>
          <w:tcPr>
            <w:tcW w:w="1456" w:type="pct"/>
            <w:tcBorders>
              <w:top w:val="single" w:color="000000" w:themeColor="text1" w:sz="12" w:space="0"/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60.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sz w:val="24"/>
              </w:rPr>
              <w:t>(13.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sz w:val="24"/>
              </w:rPr>
              <w:t>)</w:t>
            </w:r>
          </w:p>
        </w:tc>
        <w:tc>
          <w:tcPr>
            <w:tcW w:w="1368" w:type="pct"/>
            <w:tcBorders>
              <w:top w:val="single" w:color="000000" w:themeColor="text1" w:sz="12" w:space="0"/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69.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sz w:val="24"/>
              </w:rPr>
              <w:t>(1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7.1</w:t>
            </w:r>
            <w:r>
              <w:rPr>
                <w:rFonts w:ascii="Times New Roman" w:hAnsi="Times New Roman" w:eastAsia="宋体" w:cs="Times New Roman"/>
                <w:sz w:val="24"/>
              </w:rPr>
              <w:t>)</w:t>
            </w:r>
          </w:p>
        </w:tc>
        <w:tc>
          <w:tcPr>
            <w:tcW w:w="582" w:type="pct"/>
            <w:tcBorders>
              <w:top w:val="single" w:color="000000" w:themeColor="text1" w:sz="12" w:space="0"/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0.0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lang w:val="en-US" w:eastAsia="zh-CN"/>
              </w:rPr>
              <w:t>44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Gender</w:t>
            </w:r>
            <w:r>
              <w:rPr>
                <w:rFonts w:ascii="Times New Roman" w:hAnsi="Times New Roman" w:eastAsia="宋体" w:cs="Times New Roman"/>
                <w:sz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male</w:t>
            </w:r>
            <w:r>
              <w:rPr>
                <w:rFonts w:ascii="Times New Roman" w:hAnsi="Times New Roman" w:eastAsia="宋体" w:cs="Times New Roman"/>
                <w:sz w:val="24"/>
              </w:rPr>
              <w:t>/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f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emale</w:t>
            </w:r>
            <w:r>
              <w:rPr>
                <w:rFonts w:ascii="Times New Roman" w:hAnsi="Times New Roman" w:eastAsia="宋体" w:cs="Times New Roman"/>
                <w:sz w:val="24"/>
              </w:rPr>
              <w:t>)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7</w:t>
            </w:r>
            <w:r>
              <w:rPr>
                <w:rFonts w:ascii="Times New Roman" w:hAnsi="Times New Roman" w:eastAsia="宋体" w:cs="Times New Roman"/>
                <w:sz w:val="24"/>
              </w:rPr>
              <w:t>/1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4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15</w:t>
            </w:r>
            <w:r>
              <w:rPr>
                <w:rFonts w:ascii="Times New Roman" w:hAnsi="Times New Roman" w:eastAsia="宋体" w:cs="Times New Roman"/>
                <w:sz w:val="24"/>
              </w:rPr>
              <w:t>/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4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0.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085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BMI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3.1</w:t>
            </w:r>
            <w:r>
              <w:rPr>
                <w:rFonts w:ascii="Times New Roman" w:hAnsi="Times New Roman" w:eastAsia="宋体" w:cs="Times New Roman"/>
                <w:sz w:val="24"/>
              </w:rPr>
              <w:t>(2.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8</w:t>
            </w:r>
            <w:r>
              <w:rPr>
                <w:rFonts w:ascii="Times New Roman" w:hAnsi="Times New Roman" w:eastAsia="宋体" w:cs="Times New Roman"/>
                <w:sz w:val="24"/>
              </w:rPr>
              <w:t>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3.5</w:t>
            </w:r>
            <w:r>
              <w:rPr>
                <w:rFonts w:ascii="Times New Roman" w:hAnsi="Times New Roman" w:eastAsia="宋体" w:cs="Times New Roman"/>
                <w:sz w:val="24"/>
              </w:rPr>
              <w:t>(3.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sz w:val="24"/>
              </w:rPr>
              <w:t>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0.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702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Comorbidities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H</w:t>
            </w:r>
            <w:r>
              <w:rPr>
                <w:rFonts w:ascii="Times New Roman" w:hAnsi="Times New Roman" w:eastAsia="宋体" w:cs="Times New Roman"/>
                <w:sz w:val="24"/>
              </w:rPr>
              <w:t>ypertension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7</w:t>
            </w:r>
            <w:r>
              <w:rPr>
                <w:rFonts w:ascii="Times New Roman" w:hAnsi="Times New Roman" w:eastAsia="宋体" w:cs="Times New Roman"/>
                <w:sz w:val="24"/>
              </w:rPr>
              <w:t>(5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4.8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8</w:t>
            </w:r>
            <w:r>
              <w:rPr>
                <w:rFonts w:ascii="Times New Roman" w:hAnsi="Times New Roman" w:eastAsia="宋体" w:cs="Times New Roman"/>
                <w:sz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42.1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0.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382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D</w:t>
            </w:r>
            <w:r>
              <w:rPr>
                <w:rFonts w:ascii="Times New Roman" w:hAnsi="Times New Roman" w:eastAsia="宋体" w:cs="Times New Roman"/>
                <w:sz w:val="24"/>
              </w:rPr>
              <w:t>iabetes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4(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12.9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sz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26.3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0.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413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C</w:t>
            </w:r>
            <w:r>
              <w:rPr>
                <w:rFonts w:ascii="Times New Roman" w:hAnsi="Times New Roman" w:eastAsia="宋体" w:cs="Times New Roman"/>
                <w:sz w:val="24"/>
              </w:rPr>
              <w:t>oronary disease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5(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16.1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4(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21.1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.952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both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Malignan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t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tumor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3(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9.7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4</w:t>
            </w:r>
            <w:r>
              <w:rPr>
                <w:rFonts w:ascii="Times New Roman" w:hAnsi="Times New Roman" w:eastAsia="宋体" w:cs="Times New Roman"/>
                <w:sz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21.1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0.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481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ind w:left="239" w:leftChars="114" w:firstLine="240" w:firstLineChars="100"/>
              <w:jc w:val="both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C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OPD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4(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12.9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2(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10.5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SOFA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 score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4.0(3.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-6.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6.0(4.0-10.0)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0.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lang w:val="en-US" w:eastAsia="zh-CN"/>
              </w:rPr>
              <w:t>028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APACHEII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score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4.9</w:t>
            </w:r>
            <w:r>
              <w:rPr>
                <w:rFonts w:ascii="Times New Roman" w:hAnsi="Times New Roman" w:eastAsia="宋体" w:cs="Times New Roman"/>
                <w:sz w:val="24"/>
              </w:rPr>
              <w:t>(6.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sz w:val="24"/>
              </w:rPr>
              <w:t>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18.9</w:t>
            </w:r>
            <w:r>
              <w:rPr>
                <w:rFonts w:ascii="Times New Roman" w:hAnsi="Times New Roman" w:eastAsia="宋体" w:cs="Times New Roman"/>
                <w:sz w:val="24"/>
              </w:rPr>
              <w:t>(7.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sz w:val="24"/>
              </w:rPr>
              <w:t>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0.04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Time from onset to tracheal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</w:rPr>
              <w:t>intubation（days）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11.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4</w:t>
            </w:r>
            <w:r>
              <w:rPr>
                <w:rFonts w:ascii="Times New Roman" w:hAnsi="Times New Roman" w:eastAsia="宋体" w:cs="Times New Roman"/>
                <w:sz w:val="24"/>
              </w:rPr>
              <w:t>(3.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sz w:val="24"/>
              </w:rPr>
              <w:t>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12.8</w:t>
            </w:r>
            <w:r>
              <w:rPr>
                <w:rFonts w:ascii="Times New Roman" w:hAnsi="Times New Roman" w:eastAsia="宋体" w:cs="Times New Roman"/>
                <w:sz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8.7</w:t>
            </w:r>
            <w:r>
              <w:rPr>
                <w:rFonts w:ascii="Times New Roman" w:hAnsi="Times New Roman" w:eastAsia="宋体" w:cs="Times New Roman"/>
                <w:sz w:val="24"/>
              </w:rPr>
              <w:t>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0.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572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Time from onset to ICU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</w:rPr>
              <w:t>admission（days）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11.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sz w:val="24"/>
              </w:rPr>
              <w:t>(3.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8</w:t>
            </w:r>
            <w:r>
              <w:rPr>
                <w:rFonts w:ascii="Times New Roman" w:hAnsi="Times New Roman" w:eastAsia="宋体" w:cs="Times New Roman"/>
                <w:sz w:val="24"/>
              </w:rPr>
              <w:t>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9.7</w:t>
            </w:r>
            <w:r>
              <w:rPr>
                <w:rFonts w:ascii="Times New Roman" w:hAnsi="Times New Roman" w:eastAsia="宋体" w:cs="Times New Roman"/>
                <w:sz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5.5</w:t>
            </w:r>
            <w:r>
              <w:rPr>
                <w:rFonts w:ascii="Times New Roman" w:hAnsi="Times New Roman" w:eastAsia="宋体" w:cs="Times New Roman"/>
                <w:sz w:val="24"/>
              </w:rPr>
              <w:t>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z w:val="24"/>
              </w:rPr>
              <w:t>0.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lang w:val="en-US" w:eastAsia="zh-CN"/>
              </w:rPr>
              <w:t>316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W</w:t>
            </w:r>
            <w:r>
              <w:rPr>
                <w:rFonts w:ascii="Times New Roman" w:hAnsi="Times New Roman" w:eastAsia="宋体" w:cs="Times New Roman"/>
                <w:sz w:val="24"/>
              </w:rPr>
              <w:t>hite blood cell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count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C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4.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74</w:t>
            </w: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(2.89-7.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64</w:t>
            </w: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C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5.73(3.09-9.62)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0.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101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L</w:t>
            </w:r>
            <w:r>
              <w:rPr>
                <w:rFonts w:ascii="Times New Roman" w:hAnsi="Times New Roman" w:eastAsia="宋体" w:cs="Times New Roman"/>
                <w:sz w:val="24"/>
              </w:rPr>
              <w:t>ymphocyte count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C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0.7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(0.4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-0.90)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C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54</w:t>
            </w: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(0.4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-1.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18</w:t>
            </w: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0.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lang w:val="en-US" w:eastAsia="zh-CN"/>
              </w:rPr>
              <w:t>047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C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ount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of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Lymphocyte subsets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both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CD4 lymphocyte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268.50(147.75-319.25)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115.00(88.50-249.00)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0.031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CD8 lymphocyte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126.00(64.75-211.25)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73.00(19.00-192.50)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0.043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B lymphocyte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77.50(55.25-127.25)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174.00(36.00-221.00)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0.039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NK lymphocyte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80.50(21.00-134.25)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31.00(6.00-227.00)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0.015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Cytokine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IFN-γ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0.38(0.11-1.00)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0.62(0.11-2.25)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0.044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IL-10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5.23(3.31-10.64)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12.86(5.68-12.78)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0.011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IL-2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0.52(0.36-0.66)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0.46(0.41-0.59)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0.906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IL-4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0.11(0.00-0.37)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0.27(0.00-0.95)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0.024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IL-6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20.86(3.06-86.14)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32.79(10.46-63.99)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0.027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480" w:firstLineChars="200"/>
              <w:jc w:val="both"/>
              <w:rPr>
                <w:rFonts w:ascii="Times New Roman" w:hAnsi="Times New Roman" w:eastAsia="宋体" w:cs="Times New Roman"/>
                <w:sz w:val="24"/>
              </w:rPr>
            </w:pPr>
            <w:bookmarkStart w:id="0" w:name="OLE_LINK2"/>
            <w:r>
              <w:rPr>
                <w:rFonts w:ascii="Times New Roman" w:hAnsi="Times New Roman" w:eastAsia="宋体" w:cs="Times New Roman"/>
                <w:sz w:val="24"/>
              </w:rPr>
              <w:t>TNF-α</w:t>
            </w:r>
            <w:bookmarkEnd w:id="0"/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0.00(0.00-0.10)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0.09(0.05-0.13)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0.036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C-reactive protein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57.86(32.77-99.63)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97.30(38.40-155.00)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0.049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Organ dysfunction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240" w:firstLineChars="100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Acute kidney injury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3.2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9</w:t>
            </w:r>
            <w:r>
              <w:rPr>
                <w:rFonts w:ascii="Times New Roman" w:hAnsi="Times New Roman" w:eastAsia="宋体" w:cs="Times New Roman"/>
                <w:sz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47.4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240" w:firstLineChars="100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Septic shock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7(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22.6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7</w:t>
            </w:r>
            <w:r>
              <w:rPr>
                <w:rFonts w:ascii="Times New Roman" w:hAnsi="Times New Roman" w:eastAsia="宋体" w:cs="Times New Roman"/>
                <w:sz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89.5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0.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lang w:val="en-US" w:eastAsia="zh-CN"/>
              </w:rPr>
              <w:t>000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ind w:left="239" w:leftChars="114" w:firstLine="0" w:firstLineChars="0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Acute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</w:rPr>
              <w:t>myocardial injury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sz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3.2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7</w:t>
            </w:r>
            <w:r>
              <w:rPr>
                <w:rFonts w:ascii="Times New Roman" w:hAnsi="Times New Roman" w:eastAsia="宋体" w:cs="Times New Roman"/>
                <w:sz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36.8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0.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lang w:val="en-US" w:eastAsia="zh-CN"/>
              </w:rPr>
              <w:t>006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ARDS classification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</w:rPr>
              <w:t>200&lt;PaO</w:t>
            </w:r>
            <w:r>
              <w:rPr>
                <w:rFonts w:ascii="Times New Roman" w:hAnsi="Times New Roman" w:eastAsia="宋体" w:cs="Times New Roman"/>
                <w:sz w:val="24"/>
                <w:vertAlign w:val="subscript"/>
              </w:rPr>
              <w:t>2</w:t>
            </w:r>
            <w:r>
              <w:rPr>
                <w:rFonts w:ascii="Times New Roman" w:hAnsi="Times New Roman" w:eastAsia="宋体" w:cs="Times New Roman"/>
                <w:sz w:val="24"/>
              </w:rPr>
              <w:t>/FiO</w:t>
            </w:r>
            <w:r>
              <w:rPr>
                <w:rFonts w:ascii="Times New Roman" w:hAnsi="Times New Roman" w:eastAsia="宋体" w:cs="Times New Roman"/>
                <w:sz w:val="24"/>
                <w:vertAlign w:val="subscript"/>
              </w:rPr>
              <w:t>2</w:t>
            </w:r>
            <w:r>
              <w:rPr>
                <w:rFonts w:ascii="Times New Roman" w:hAnsi="Times New Roman" w:eastAsia="宋体" w:cs="Times New Roman"/>
                <w:sz w:val="24"/>
              </w:rPr>
              <w:t>≤300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11(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35.5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4(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21.1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0.280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</w:rPr>
              <w:t>100&lt;PaO</w:t>
            </w:r>
            <w:r>
              <w:rPr>
                <w:rFonts w:ascii="Times New Roman" w:hAnsi="Times New Roman" w:eastAsia="宋体" w:cs="Times New Roman"/>
                <w:sz w:val="24"/>
                <w:vertAlign w:val="subscript"/>
              </w:rPr>
              <w:t>2</w:t>
            </w:r>
            <w:r>
              <w:rPr>
                <w:rFonts w:ascii="Times New Roman" w:hAnsi="Times New Roman" w:eastAsia="宋体" w:cs="Times New Roman"/>
                <w:sz w:val="24"/>
              </w:rPr>
              <w:t>/FiO</w:t>
            </w:r>
            <w:r>
              <w:rPr>
                <w:rFonts w:ascii="Times New Roman" w:hAnsi="Times New Roman" w:eastAsia="宋体" w:cs="Times New Roman"/>
                <w:sz w:val="24"/>
                <w:vertAlign w:val="subscript"/>
              </w:rPr>
              <w:t>2</w:t>
            </w:r>
            <w:r>
              <w:rPr>
                <w:rFonts w:ascii="Times New Roman" w:hAnsi="Times New Roman" w:eastAsia="宋体" w:cs="Times New Roman"/>
                <w:sz w:val="24"/>
              </w:rPr>
              <w:t>≤200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6</w:t>
            </w:r>
            <w:r>
              <w:rPr>
                <w:rFonts w:ascii="Times New Roman" w:hAnsi="Times New Roman" w:eastAsia="宋体" w:cs="Times New Roman"/>
                <w:sz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51.6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8</w:t>
            </w:r>
            <w:r>
              <w:rPr>
                <w:rFonts w:ascii="Times New Roman" w:hAnsi="Times New Roman" w:eastAsia="宋体" w:cs="Times New Roman"/>
                <w:sz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42.1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0.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514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240" w:firstLineChars="100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PaO</w:t>
            </w:r>
            <w:r>
              <w:rPr>
                <w:rFonts w:ascii="Times New Roman" w:hAnsi="Times New Roman" w:eastAsia="宋体" w:cs="Times New Roman"/>
                <w:sz w:val="24"/>
                <w:vertAlign w:val="subscript"/>
              </w:rPr>
              <w:t>2</w:t>
            </w:r>
            <w:r>
              <w:rPr>
                <w:rFonts w:ascii="Times New Roman" w:hAnsi="Times New Roman" w:eastAsia="宋体" w:cs="Times New Roman"/>
                <w:sz w:val="24"/>
              </w:rPr>
              <w:t>/FiO</w:t>
            </w:r>
            <w:r>
              <w:rPr>
                <w:rFonts w:ascii="Times New Roman" w:hAnsi="Times New Roman" w:eastAsia="宋体" w:cs="Times New Roman"/>
                <w:sz w:val="24"/>
                <w:vertAlign w:val="subscript"/>
              </w:rPr>
              <w:t>2</w:t>
            </w:r>
            <w:r>
              <w:rPr>
                <w:rFonts w:ascii="Times New Roman" w:hAnsi="Times New Roman" w:eastAsia="宋体" w:cs="Times New Roman"/>
                <w:sz w:val="24"/>
              </w:rPr>
              <w:t>≤100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4</w:t>
            </w:r>
            <w:r>
              <w:rPr>
                <w:rFonts w:ascii="Times New Roman" w:hAnsi="Times New Roman" w:eastAsia="宋体" w:cs="Times New Roman"/>
                <w:sz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12.9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7</w:t>
            </w:r>
            <w:r>
              <w:rPr>
                <w:rFonts w:ascii="Times New Roman" w:hAnsi="Times New Roman" w:eastAsia="宋体" w:cs="Times New Roman"/>
                <w:sz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36.8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0.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103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Secondary infection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8(2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5.8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11</w:t>
            </w:r>
            <w:r>
              <w:rPr>
                <w:rFonts w:ascii="Times New Roman" w:hAnsi="Times New Roman" w:eastAsia="宋体" w:cs="Times New Roman"/>
                <w:sz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57.9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</w:rPr>
              <w:t>0.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lang w:val="en-US" w:eastAsia="zh-CN"/>
              </w:rPr>
              <w:t>023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ind w:left="239" w:leftChars="114" w:firstLine="0" w:firstLineChars="0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Acinetobacter baumannii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5(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16.1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5(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26.3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0.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610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pct"/>
            <w:tcBorders>
              <w:tl2br w:val="nil"/>
              <w:tr2bl w:val="nil"/>
            </w:tcBorders>
          </w:tcPr>
          <w:p>
            <w:pPr>
              <w:spacing w:line="400" w:lineRule="exact"/>
              <w:ind w:firstLine="240" w:firstLineChars="100"/>
              <w:jc w:val="both"/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Candida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456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4(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12.9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  <w:tc>
          <w:tcPr>
            <w:tcW w:w="1368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7</w:t>
            </w:r>
            <w:r>
              <w:rPr>
                <w:rFonts w:ascii="Times New Roman" w:hAnsi="Times New Roman" w:eastAsia="宋体" w:cs="Times New Roman"/>
                <w:sz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36.8</w:t>
            </w:r>
            <w:r>
              <w:rPr>
                <w:rFonts w:ascii="Times New Roman" w:hAnsi="Times New Roman" w:eastAsia="宋体" w:cs="Times New Roman"/>
                <w:sz w:val="24"/>
              </w:rPr>
              <w:t>%)</w:t>
            </w:r>
          </w:p>
        </w:tc>
        <w:tc>
          <w:tcPr>
            <w:tcW w:w="582" w:type="pct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0.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103</w:t>
            </w:r>
          </w:p>
        </w:tc>
      </w:tr>
    </w:tbl>
    <w:p/>
    <w:p>
      <w:bookmarkStart w:id="1" w:name="_GoBack"/>
      <w:bookmarkEnd w:id="1"/>
    </w:p>
    <w:p/>
    <w:p>
      <w:pPr>
        <w:widowControl/>
        <w:spacing w:line="400" w:lineRule="exact"/>
        <w:jc w:val="center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Table 5  Changes in PaO</w:t>
      </w:r>
      <w:r>
        <w:rPr>
          <w:rFonts w:ascii="Times New Roman" w:hAnsi="Times New Roman" w:eastAsia="宋体" w:cs="Times New Roman"/>
          <w:sz w:val="24"/>
          <w:vertAlign w:val="subscript"/>
        </w:rPr>
        <w:t>2</w:t>
      </w:r>
      <w:r>
        <w:rPr>
          <w:rFonts w:ascii="Times New Roman" w:hAnsi="Times New Roman" w:eastAsia="宋体" w:cs="Times New Roman"/>
          <w:sz w:val="24"/>
        </w:rPr>
        <w:t>/FiO</w:t>
      </w:r>
      <w:r>
        <w:rPr>
          <w:rFonts w:ascii="Times New Roman" w:hAnsi="Times New Roman" w:eastAsia="宋体" w:cs="Times New Roman"/>
          <w:sz w:val="24"/>
          <w:vertAlign w:val="subscript"/>
        </w:rPr>
        <w:t>2</w:t>
      </w:r>
      <w:r>
        <w:rPr>
          <w:rFonts w:ascii="Times New Roman" w:hAnsi="Times New Roman" w:eastAsia="宋体" w:cs="Times New Roman"/>
          <w:sz w:val="24"/>
        </w:rPr>
        <w:t xml:space="preserve"> ratio in response to prone position ventilation session</w:t>
      </w:r>
    </w:p>
    <w:tbl>
      <w:tblPr>
        <w:tblStyle w:val="2"/>
        <w:tblW w:w="8336" w:type="dxa"/>
        <w:tblInd w:w="0" w:type="dxa"/>
        <w:tblBorders>
          <w:top w:val="single" w:color="000000" w:themeColor="text1" w:sz="12" w:space="0"/>
          <w:left w:val="none" w:color="auto" w:sz="0" w:space="0"/>
          <w:bottom w:val="single" w:color="000000" w:themeColor="text1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02"/>
        <w:gridCol w:w="1023"/>
        <w:gridCol w:w="1063"/>
        <w:gridCol w:w="1118"/>
        <w:gridCol w:w="1050"/>
        <w:gridCol w:w="1050"/>
        <w:gridCol w:w="930"/>
      </w:tblGrid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02" w:type="dxa"/>
            <w:tcBorders>
              <w:bottom w:val="single" w:color="000000" w:themeColor="text1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a</w:t>
            </w:r>
            <w:r>
              <w:rPr>
                <w:rFonts w:ascii="Times New Roman" w:hAnsi="Times New Roman" w:eastAsia="宋体" w:cs="Times New Roman"/>
                <w:sz w:val="24"/>
              </w:rPr>
              <w:t>O</w:t>
            </w:r>
            <w:r>
              <w:rPr>
                <w:rFonts w:ascii="Times New Roman" w:hAnsi="Times New Roman" w:eastAsia="宋体" w:cs="Times New Roman"/>
                <w:sz w:val="24"/>
                <w:vertAlign w:val="subscript"/>
              </w:rPr>
              <w:t>2</w:t>
            </w:r>
            <w:r>
              <w:rPr>
                <w:rFonts w:ascii="Times New Roman" w:hAnsi="Times New Roman" w:eastAsia="宋体" w:cs="Times New Roman"/>
                <w:sz w:val="24"/>
              </w:rPr>
              <w:t>/FiO</w:t>
            </w:r>
            <w:r>
              <w:rPr>
                <w:rFonts w:ascii="Times New Roman" w:hAnsi="Times New Roman" w:eastAsia="宋体" w:cs="Times New Roman"/>
                <w:sz w:val="24"/>
                <w:vertAlign w:val="subscript"/>
              </w:rPr>
              <w:t>2</w:t>
            </w:r>
            <w:r>
              <w:rPr>
                <w:rFonts w:ascii="Times New Roman" w:hAnsi="Times New Roman" w:eastAsia="宋体" w:cs="Times New Roman"/>
                <w:sz w:val="24"/>
              </w:rPr>
              <w:t>(mmHg)</w:t>
            </w:r>
          </w:p>
        </w:tc>
        <w:tc>
          <w:tcPr>
            <w:tcW w:w="1023" w:type="dxa"/>
            <w:tcBorders>
              <w:bottom w:val="single" w:color="000000" w:themeColor="text1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supine1</w:t>
            </w:r>
          </w:p>
        </w:tc>
        <w:tc>
          <w:tcPr>
            <w:tcW w:w="1063" w:type="dxa"/>
            <w:tcBorders>
              <w:bottom w:val="single" w:color="000000" w:themeColor="text1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prone1</w:t>
            </w:r>
          </w:p>
        </w:tc>
        <w:tc>
          <w:tcPr>
            <w:tcW w:w="1118" w:type="dxa"/>
            <w:tcBorders>
              <w:bottom w:val="single" w:color="000000" w:themeColor="text1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supine2</w:t>
            </w:r>
          </w:p>
        </w:tc>
        <w:tc>
          <w:tcPr>
            <w:tcW w:w="1050" w:type="dxa"/>
            <w:tcBorders>
              <w:bottom w:val="single" w:color="000000" w:themeColor="text1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prone2</w:t>
            </w:r>
          </w:p>
        </w:tc>
        <w:tc>
          <w:tcPr>
            <w:tcW w:w="1050" w:type="dxa"/>
            <w:tcBorders>
              <w:bottom w:val="single" w:color="000000" w:themeColor="text1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supine3</w:t>
            </w:r>
          </w:p>
        </w:tc>
        <w:tc>
          <w:tcPr>
            <w:tcW w:w="930" w:type="dxa"/>
            <w:tcBorders>
              <w:bottom w:val="single" w:color="000000" w:themeColor="text1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prone3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02" w:type="dxa"/>
            <w:tcBorders>
              <w:top w:val="single" w:color="000000" w:themeColor="text1" w:sz="12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patient1</w:t>
            </w:r>
          </w:p>
        </w:tc>
        <w:tc>
          <w:tcPr>
            <w:tcW w:w="1023" w:type="dxa"/>
            <w:tcBorders>
              <w:top w:val="single" w:color="000000" w:themeColor="text1" w:sz="12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96</w:t>
            </w:r>
          </w:p>
        </w:tc>
        <w:tc>
          <w:tcPr>
            <w:tcW w:w="1063" w:type="dxa"/>
            <w:tcBorders>
              <w:top w:val="single" w:color="000000" w:themeColor="text1" w:sz="12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154</w:t>
            </w:r>
          </w:p>
        </w:tc>
        <w:tc>
          <w:tcPr>
            <w:tcW w:w="1118" w:type="dxa"/>
            <w:tcBorders>
              <w:top w:val="single" w:color="000000" w:themeColor="text1" w:sz="12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129</w:t>
            </w:r>
          </w:p>
        </w:tc>
        <w:tc>
          <w:tcPr>
            <w:tcW w:w="1050" w:type="dxa"/>
            <w:tcBorders>
              <w:top w:val="single" w:color="000000" w:themeColor="text1" w:sz="12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140</w:t>
            </w:r>
          </w:p>
        </w:tc>
        <w:tc>
          <w:tcPr>
            <w:tcW w:w="1050" w:type="dxa"/>
            <w:tcBorders>
              <w:top w:val="single" w:color="000000" w:themeColor="text1" w:sz="12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930" w:type="dxa"/>
            <w:tcBorders>
              <w:top w:val="single" w:color="000000" w:themeColor="text1" w:sz="12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patient2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98</w:t>
            </w:r>
          </w:p>
        </w:tc>
        <w:tc>
          <w:tcPr>
            <w:tcW w:w="10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79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84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90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patient3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69</w:t>
            </w:r>
          </w:p>
        </w:tc>
        <w:tc>
          <w:tcPr>
            <w:tcW w:w="10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56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patient4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93</w:t>
            </w:r>
          </w:p>
        </w:tc>
        <w:tc>
          <w:tcPr>
            <w:tcW w:w="10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113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137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159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148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121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patient5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100</w:t>
            </w:r>
          </w:p>
        </w:tc>
        <w:tc>
          <w:tcPr>
            <w:tcW w:w="10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170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124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148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139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161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patient6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90</w:t>
            </w:r>
          </w:p>
        </w:tc>
        <w:tc>
          <w:tcPr>
            <w:tcW w:w="10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130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145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138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130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151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patient7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100</w:t>
            </w:r>
          </w:p>
        </w:tc>
        <w:tc>
          <w:tcPr>
            <w:tcW w:w="10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164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patient8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54</w:t>
            </w:r>
          </w:p>
        </w:tc>
        <w:tc>
          <w:tcPr>
            <w:tcW w:w="10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82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120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159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patient9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68</w:t>
            </w:r>
          </w:p>
        </w:tc>
        <w:tc>
          <w:tcPr>
            <w:tcW w:w="10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62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patient10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64</w:t>
            </w:r>
          </w:p>
        </w:tc>
        <w:tc>
          <w:tcPr>
            <w:tcW w:w="10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70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101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117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patient11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84</w:t>
            </w:r>
          </w:p>
        </w:tc>
        <w:tc>
          <w:tcPr>
            <w:tcW w:w="10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90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95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110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patient12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76</w:t>
            </w:r>
          </w:p>
        </w:tc>
        <w:tc>
          <w:tcPr>
            <w:tcW w:w="10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136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141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150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139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160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patient13</w:t>
            </w:r>
          </w:p>
        </w:tc>
        <w:tc>
          <w:tcPr>
            <w:tcW w:w="102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61</w:t>
            </w:r>
          </w:p>
        </w:tc>
        <w:tc>
          <w:tcPr>
            <w:tcW w:w="10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74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85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101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</w:tbl>
    <w:p>
      <w:pPr>
        <w:widowControl/>
        <w:spacing w:line="400" w:lineRule="exact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Supine PaO</w:t>
      </w:r>
      <w:r>
        <w:rPr>
          <w:rFonts w:ascii="Times New Roman" w:hAnsi="Times New Roman" w:eastAsia="宋体" w:cs="Times New Roman"/>
          <w:sz w:val="24"/>
          <w:vertAlign w:val="subscript"/>
        </w:rPr>
        <w:t>2</w:t>
      </w:r>
      <w:r>
        <w:rPr>
          <w:rFonts w:ascii="Times New Roman" w:hAnsi="Times New Roman" w:eastAsia="宋体" w:cs="Times New Roman"/>
          <w:sz w:val="24"/>
        </w:rPr>
        <w:t>/FiO</w:t>
      </w:r>
      <w:r>
        <w:rPr>
          <w:rFonts w:ascii="Times New Roman" w:hAnsi="Times New Roman" w:eastAsia="宋体" w:cs="Times New Roman"/>
          <w:sz w:val="24"/>
          <w:vertAlign w:val="subscript"/>
        </w:rPr>
        <w:t xml:space="preserve">2: </w:t>
      </w:r>
      <w:r>
        <w:rPr>
          <w:rFonts w:ascii="Times New Roman" w:hAnsi="Times New Roman" w:eastAsia="宋体" w:cs="Times New Roman"/>
          <w:sz w:val="24"/>
        </w:rPr>
        <w:t>Before prone position; prone PaO</w:t>
      </w:r>
      <w:r>
        <w:rPr>
          <w:rFonts w:ascii="Times New Roman" w:hAnsi="Times New Roman" w:eastAsia="宋体" w:cs="Times New Roman"/>
          <w:sz w:val="24"/>
          <w:vertAlign w:val="subscript"/>
        </w:rPr>
        <w:t>2</w:t>
      </w:r>
      <w:r>
        <w:rPr>
          <w:rFonts w:ascii="Times New Roman" w:hAnsi="Times New Roman" w:eastAsia="宋体" w:cs="Times New Roman"/>
          <w:sz w:val="24"/>
        </w:rPr>
        <w:t>/FiO</w:t>
      </w:r>
      <w:r>
        <w:rPr>
          <w:rFonts w:ascii="Times New Roman" w:hAnsi="Times New Roman" w:eastAsia="宋体" w:cs="Times New Roman"/>
          <w:sz w:val="24"/>
          <w:vertAlign w:val="subscript"/>
        </w:rPr>
        <w:t xml:space="preserve">2: </w:t>
      </w:r>
      <w:r>
        <w:rPr>
          <w:rFonts w:ascii="Times New Roman" w:hAnsi="Times New Roman" w:eastAsia="宋体" w:cs="Times New Roman"/>
          <w:sz w:val="24"/>
        </w:rPr>
        <w:t>End of prone positon ventilation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372E50"/>
    <w:rsid w:val="0B194574"/>
    <w:rsid w:val="3C2A1D4D"/>
    <w:rsid w:val="5D896B5F"/>
    <w:rsid w:val="72372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2020-03-05T14:33:00Z</dcterms:created>
  <dc:creator>shirley1369650865</dc:creator>
  <cp:lastModifiedBy>shirley1369650865</cp:lastModifiedBy>
  <dcterms:modified xsi:type="dcterms:W3CDTF">2020-03-05T14:38:33Z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