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adjustRightInd w:val="0"/>
        <w:snapToGrid w:val="0"/>
        <w:spacing w:line="480" w:lineRule="auto"/>
        <w:rPr>
          <w:rFonts w:ascii="Times New Roman" w:hAnsi="Times New Roman" w:cs="Times New Roman"/>
          <w:sz w:val="24"/>
        </w:rPr>
      </w:pPr>
      <w:r>
        <w:rPr>
          <w:rFonts w:ascii="Times New Roman" w:hAnsi="Times New Roman" w:cs="Times New Roman"/>
          <w:b/>
          <w:bCs/>
          <w:sz w:val="24"/>
        </w:rPr>
        <w:t>Supplementary materials and methods</w:t>
      </w:r>
    </w:p>
    <w:p>
      <w:pPr>
        <w:autoSpaceDE w:val="0"/>
        <w:autoSpaceDN w:val="0"/>
        <w:adjustRightInd w:val="0"/>
        <w:snapToGrid w:val="0"/>
        <w:spacing w:line="480" w:lineRule="auto"/>
        <w:rPr>
          <w:rFonts w:ascii="Times New Roman" w:hAnsi="Times New Roman" w:cs="Times New Roman"/>
          <w:color w:val="0000FF"/>
          <w:sz w:val="24"/>
        </w:rPr>
      </w:pPr>
      <w:r>
        <w:rPr>
          <w:rFonts w:ascii="Times New Roman" w:hAnsi="Times New Roman" w:cs="Times New Roman"/>
          <w:b/>
          <w:bCs/>
          <w:color w:val="000000" w:themeColor="text1"/>
          <w:sz w:val="24"/>
          <w14:textFill>
            <w14:solidFill>
              <w14:schemeClr w14:val="tx1"/>
            </w14:solidFill>
          </w14:textFill>
        </w:rPr>
        <w:t xml:space="preserve">Atp8b1 and Bhlha15-overexpressing </w:t>
      </w:r>
      <w:bookmarkStart w:id="0" w:name="OLE_LINK12"/>
      <w:r>
        <w:rPr>
          <w:rFonts w:ascii="Times New Roman" w:hAnsi="Times New Roman" w:cs="Times New Roman"/>
          <w:b/>
          <w:bCs/>
          <w:color w:val="000000" w:themeColor="text1"/>
          <w:sz w:val="24"/>
          <w:lang w:val="en-GB"/>
          <w14:textFill>
            <w14:solidFill>
              <w14:schemeClr w14:val="tx1"/>
            </w14:solidFill>
          </w14:textFill>
        </w:rPr>
        <w:t>adeno-associated virus</w:t>
      </w:r>
      <w:bookmarkEnd w:id="0"/>
      <w:r>
        <w:rPr>
          <w:rFonts w:ascii="Times New Roman" w:hAnsi="Times New Roman" w:cs="Times New Roman"/>
          <w:b/>
          <w:bCs/>
          <w:color w:val="000000" w:themeColor="text1"/>
          <w:sz w:val="24"/>
          <w:lang w:val="en-GB"/>
          <w14:textFill>
            <w14:solidFill>
              <w14:schemeClr w14:val="tx1"/>
            </w14:solidFill>
          </w14:textFill>
        </w:rPr>
        <w:t xml:space="preserve"> (AAV)</w:t>
      </w:r>
      <w:r>
        <w:rPr>
          <w:rFonts w:ascii="Times New Roman" w:hAnsi="Times New Roman" w:cs="Times New Roman"/>
          <w:b/>
          <w:bCs/>
          <w:color w:val="0000FF"/>
          <w:sz w:val="24"/>
          <w:lang w:val="en-GB"/>
        </w:rPr>
        <w:t xml:space="preserve"> </w:t>
      </w:r>
    </w:p>
    <w:p>
      <w:pPr>
        <w:widowControl/>
        <w:autoSpaceDE w:val="0"/>
        <w:autoSpaceDN w:val="0"/>
        <w:adjustRightInd w:val="0"/>
        <w:snapToGrid w:val="0"/>
        <w:spacing w:line="480" w:lineRule="auto"/>
        <w:rPr>
          <w:rFonts w:ascii="Times New Roman" w:hAnsi="Times New Roman" w:eastAsia="宋体" w:cs="Times New Roman"/>
          <w:color w:val="000000" w:themeColor="text1"/>
          <w:sz w:val="24"/>
          <w:shd w:val="clear" w:color="auto" w:fill="FFFFFF"/>
          <w14:textFill>
            <w14:solidFill>
              <w14:schemeClr w14:val="tx1"/>
            </w14:solidFill>
          </w14:textFill>
        </w:rPr>
      </w:pPr>
      <w:r>
        <w:rPr>
          <w:rFonts w:hint="eastAsia" w:ascii="Times New Roman" w:hAnsi="Times New Roman" w:cs="Times New Roman"/>
          <w:color w:val="000000" w:themeColor="text1"/>
          <w:sz w:val="24"/>
          <w14:textFill>
            <w14:solidFill>
              <w14:schemeClr w14:val="tx1"/>
            </w14:solidFill>
          </w14:textFill>
        </w:rPr>
        <w:t xml:space="preserve">In order to build Atp8b1 and Bhlha15 overexpression CP </w:t>
      </w:r>
      <w:r>
        <w:rPr>
          <w:rFonts w:ascii="Times New Roman" w:hAnsi="Times New Roman" w:eastAsia="宋体" w:cs="Times New Roman"/>
          <w:bCs/>
          <w:i/>
          <w:iCs/>
          <w:color w:val="000000" w:themeColor="text1"/>
          <w:sz w:val="24"/>
          <w:lang w:bidi="ar"/>
          <w14:textFill>
            <w14:solidFill>
              <w14:schemeClr w14:val="tx1"/>
            </w14:solidFill>
          </w14:textFill>
        </w:rPr>
        <w:t>PRSS1</w:t>
      </w:r>
      <w:r>
        <w:rPr>
          <w:rFonts w:ascii="Times New Roman" w:hAnsi="Times New Roman" w:eastAsia="宋体" w:cs="Times New Roman"/>
          <w:bCs/>
          <w:i/>
          <w:iCs/>
          <w:color w:val="000000" w:themeColor="text1"/>
          <w:sz w:val="24"/>
          <w:vertAlign w:val="superscript"/>
          <w:lang w:bidi="ar"/>
          <w14:textFill>
            <w14:solidFill>
              <w14:schemeClr w14:val="tx1"/>
            </w14:solidFill>
          </w14:textFill>
        </w:rPr>
        <w:t>Tg</w:t>
      </w:r>
      <w:r>
        <w:rPr>
          <w:rFonts w:hint="eastAsia" w:ascii="Times New Roman" w:hAnsi="Times New Roman" w:eastAsia="宋体" w:cs="Times New Roman"/>
          <w:bCs/>
          <w:i/>
          <w:iCs/>
          <w:color w:val="000000" w:themeColor="text1"/>
          <w:sz w:val="24"/>
          <w:vertAlign w:val="superscript"/>
          <w:lang w:bidi="ar"/>
          <w14:textFill>
            <w14:solidFill>
              <w14:schemeClr w14:val="tx1"/>
            </w14:solidFill>
          </w14:textFill>
        </w:rPr>
        <w:t xml:space="preserve"> </w:t>
      </w:r>
      <w:r>
        <w:rPr>
          <w:rFonts w:hint="eastAsia" w:ascii="Times New Roman" w:hAnsi="Times New Roman" w:cs="Times New Roman"/>
          <w:color w:val="000000" w:themeColor="text1"/>
          <w:sz w:val="24"/>
          <w14:textFill>
            <w14:solidFill>
              <w14:schemeClr w14:val="tx1"/>
            </w14:solidFill>
          </w14:textFill>
        </w:rPr>
        <w:t xml:space="preserve">mice model to investigate the effect of Atp8b1 and Bhlha15 on apoptosis and inflammation, </w:t>
      </w:r>
      <w:r>
        <w:rPr>
          <w:rFonts w:ascii="Times New Roman" w:hAnsi="Times New Roman" w:cs="Times New Roman"/>
          <w:color w:val="000000" w:themeColor="text1"/>
          <w:sz w:val="24"/>
          <w14:textFill>
            <w14:solidFill>
              <w14:schemeClr w14:val="tx1"/>
            </w14:solidFill>
          </w14:textFill>
        </w:rPr>
        <w:t>adenoviral vectors harboring full-length Atp8b1</w:t>
      </w:r>
      <w:r>
        <w:rPr>
          <w:rFonts w:hint="eastAsia" w:ascii="Times New Roman" w:hAnsi="Times New Roman" w:cs="Times New Roman"/>
          <w:color w:val="000000" w:themeColor="text1"/>
          <w:sz w:val="24"/>
          <w14:textFill>
            <w14:solidFill>
              <w14:schemeClr w14:val="tx1"/>
            </w14:solidFill>
          </w14:textFill>
        </w:rPr>
        <w:t xml:space="preserve"> and Bhlha15 were built and then injected into pancreas by intraductal administration respectively as reported before</w:t>
      </w:r>
      <w:r>
        <w:rPr>
          <w:rFonts w:ascii="Times New Roman" w:hAnsi="Times New Roman" w:cs="Times New Roman"/>
          <w:color w:val="000000" w:themeColor="text1"/>
          <w:sz w:val="24"/>
          <w14:textFill>
            <w14:solidFill>
              <w14:schemeClr w14:val="tx1"/>
            </w14:solidFill>
          </w14:textFill>
        </w:rPr>
        <w:fldChar w:fldCharType="begin"/>
      </w:r>
      <w:r>
        <w:rPr>
          <w:rFonts w:ascii="Times New Roman" w:hAnsi="Times New Roman" w:cs="Times New Roman"/>
          <w:color w:val="000000" w:themeColor="text1"/>
          <w:sz w:val="24"/>
          <w14:textFill>
            <w14:solidFill>
              <w14:schemeClr w14:val="tx1"/>
            </w14:solidFill>
          </w14:textFill>
        </w:rPr>
        <w:instrText xml:space="preserve"> ADDIN NE.Ref.{066C5AB2-A571-45D8-90C8-16F8F42D53F5}</w:instrText>
      </w:r>
      <w:r>
        <w:rPr>
          <w:rFonts w:ascii="Times New Roman" w:hAnsi="Times New Roman" w:cs="Times New Roman"/>
          <w:color w:val="000000" w:themeColor="text1"/>
          <w:sz w:val="24"/>
          <w14:textFill>
            <w14:solidFill>
              <w14:schemeClr w14:val="tx1"/>
            </w14:solidFill>
          </w14:textFill>
        </w:rPr>
        <w:fldChar w:fldCharType="separate"/>
      </w:r>
      <w:r>
        <w:rPr>
          <w:rFonts w:ascii="Times New Roman" w:hAnsi="Times New Roman" w:cs="Times New Roman"/>
          <w:color w:val="080000"/>
          <w:sz w:val="24"/>
        </w:rPr>
        <w:t>[1]</w:t>
      </w:r>
      <w:r>
        <w:rPr>
          <w:rFonts w:ascii="Times New Roman" w:hAnsi="Times New Roman" w:cs="Times New Roman"/>
          <w:color w:val="000000" w:themeColor="text1"/>
          <w:sz w:val="24"/>
          <w14:textFill>
            <w14:solidFill>
              <w14:schemeClr w14:val="tx1"/>
            </w14:solidFill>
          </w14:textFill>
        </w:rPr>
        <w:fldChar w:fldCharType="end"/>
      </w:r>
      <w:r>
        <w:rPr>
          <w:rFonts w:hint="eastAsia" w:ascii="Times New Roman" w:hAnsi="Times New Roman" w:cs="Times New Roman"/>
          <w:color w:val="000000" w:themeColor="text1"/>
          <w:sz w:val="24"/>
          <w14:textFill>
            <w14:solidFill>
              <w14:schemeClr w14:val="tx1"/>
            </w14:solidFill>
          </w14:textFill>
        </w:rPr>
        <w:t xml:space="preserve">, </w:t>
      </w:r>
      <w:r>
        <w:rPr>
          <w:rFonts w:ascii="Times New Roman" w:hAnsi="Times New Roman" w:cs="Times New Roman"/>
          <w:color w:val="000000" w:themeColor="text1"/>
          <w:sz w:val="24"/>
          <w14:textFill>
            <w14:solidFill>
              <w14:schemeClr w14:val="tx1"/>
            </w14:solidFill>
          </w14:textFill>
        </w:rPr>
        <w:t xml:space="preserve">a scrambled adRNA </w:t>
      </w:r>
      <w:r>
        <w:rPr>
          <w:rFonts w:hint="eastAsia" w:ascii="Times New Roman" w:hAnsi="Times New Roman" w:cs="Times New Roman"/>
          <w:color w:val="000000" w:themeColor="text1"/>
          <w:sz w:val="24"/>
          <w14:textFill>
            <w14:solidFill>
              <w14:schemeClr w14:val="tx1"/>
            </w14:solidFill>
          </w14:textFill>
        </w:rPr>
        <w:t>was designed as</w:t>
      </w:r>
      <w:r>
        <w:rPr>
          <w:rFonts w:ascii="Times New Roman" w:hAnsi="Times New Roman" w:cs="Times New Roman"/>
          <w:color w:val="000000" w:themeColor="text1"/>
          <w:sz w:val="24"/>
          <w14:textFill>
            <w14:solidFill>
              <w14:schemeClr w14:val="tx1"/>
            </w14:solidFill>
          </w14:textFill>
        </w:rPr>
        <w:t xml:space="preserve"> the negative contro</w:t>
      </w:r>
      <w:r>
        <w:rPr>
          <w:rFonts w:hint="eastAsia" w:ascii="Times New Roman" w:hAnsi="Times New Roman" w:cs="Times New Roman"/>
          <w:color w:val="000000" w:themeColor="text1"/>
          <w:sz w:val="24"/>
          <w14:textFill>
            <w14:solidFill>
              <w14:schemeClr w14:val="tx1"/>
            </w14:solidFill>
          </w14:textFill>
        </w:rPr>
        <w:t>l</w:t>
      </w:r>
      <w:r>
        <w:rPr>
          <w:rFonts w:ascii="Times New Roman" w:hAnsi="Times New Roman" w:cs="Times New Roman"/>
          <w:color w:val="000000" w:themeColor="text1"/>
          <w:sz w:val="24"/>
          <w14:textFill>
            <w14:solidFill>
              <w14:schemeClr w14:val="tx1"/>
            </w14:solidFill>
          </w14:textFill>
        </w:rPr>
        <w:t xml:space="preserve"> </w:t>
      </w:r>
      <w:r>
        <w:rPr>
          <w:rFonts w:hint="eastAsia" w:ascii="Times New Roman" w:hAnsi="Times New Roman" w:cs="Times New Roman"/>
          <w:color w:val="000000" w:themeColor="text1"/>
          <w:sz w:val="24"/>
          <w14:textFill>
            <w14:solidFill>
              <w14:schemeClr w14:val="tx1"/>
            </w14:solidFill>
          </w14:textFill>
        </w:rPr>
        <w:t>(NC). Virus suspension with a titer of 1.5</w:t>
      </w:r>
      <w:r>
        <w:rPr>
          <w:rFonts w:ascii="Times New Roman" w:hAnsi="Times New Roman" w:cs="Times New Roman"/>
          <w:color w:val="000000" w:themeColor="text1"/>
          <w:sz w:val="24"/>
          <w14:textFill>
            <w14:solidFill>
              <w14:schemeClr w14:val="tx1"/>
            </w14:solidFill>
          </w14:textFill>
        </w:rPr>
        <w:t>×</w:t>
      </w:r>
      <w:r>
        <w:rPr>
          <w:rFonts w:hint="eastAsia" w:ascii="Times New Roman" w:hAnsi="Times New Roman" w:cs="Times New Roman"/>
          <w:color w:val="000000" w:themeColor="text1"/>
          <w:sz w:val="24"/>
          <w14:textFill>
            <w14:solidFill>
              <w14:schemeClr w14:val="tx1"/>
            </w14:solidFill>
          </w14:textFill>
        </w:rPr>
        <w:t>10</w:t>
      </w:r>
      <w:r>
        <w:rPr>
          <w:rFonts w:hint="eastAsia" w:ascii="Times New Roman" w:hAnsi="Times New Roman" w:cs="Times New Roman"/>
          <w:color w:val="000000" w:themeColor="text1"/>
          <w:sz w:val="24"/>
          <w:vertAlign w:val="superscript"/>
          <w14:textFill>
            <w14:solidFill>
              <w14:schemeClr w14:val="tx1"/>
            </w14:solidFill>
          </w14:textFill>
        </w:rPr>
        <w:t xml:space="preserve">11 </w:t>
      </w:r>
      <w:r>
        <w:rPr>
          <w:rFonts w:hint="eastAsia" w:ascii="Times New Roman" w:hAnsi="Times New Roman" w:cs="Times New Roman"/>
          <w:color w:val="000000" w:themeColor="text1"/>
          <w:sz w:val="24"/>
          <w14:textFill>
            <w14:solidFill>
              <w14:schemeClr w14:val="tx1"/>
            </w14:solidFill>
          </w14:textFill>
        </w:rPr>
        <w:t>at a dose of 100</w:t>
      </w:r>
      <w:r>
        <w:rPr>
          <w:rFonts w:ascii="Times New Roman" w:hAnsi="Times New Roman" w:cs="Times New Roman"/>
          <w:color w:val="000000" w:themeColor="text1"/>
          <w:sz w:val="24"/>
          <w14:textFill>
            <w14:solidFill>
              <w14:schemeClr w14:val="tx1"/>
            </w14:solidFill>
          </w14:textFill>
        </w:rPr>
        <w:t xml:space="preserve"> μl</w:t>
      </w:r>
      <w:r>
        <w:rPr>
          <w:rFonts w:hint="eastAsia" w:ascii="Times New Roman" w:hAnsi="Times New Roman" w:cs="Times New Roman"/>
          <w:color w:val="000000" w:themeColor="text1"/>
          <w:sz w:val="24"/>
          <w14:textFill>
            <w14:solidFill>
              <w14:schemeClr w14:val="tx1"/>
            </w14:solidFill>
          </w14:textFill>
        </w:rPr>
        <w:t xml:space="preserve"> each mouse</w:t>
      </w:r>
      <w:r>
        <w:rPr>
          <w:rFonts w:ascii="Times New Roman" w:hAnsi="Times New Roman" w:cs="Times New Roman"/>
          <w:color w:val="000000" w:themeColor="text1"/>
          <w:sz w:val="24"/>
          <w14:textFill>
            <w14:solidFill>
              <w14:schemeClr w14:val="tx1"/>
            </w14:solidFill>
          </w14:textFill>
        </w:rPr>
        <w:t xml:space="preserve"> </w:t>
      </w:r>
      <w:r>
        <w:rPr>
          <w:rFonts w:hint="eastAsia" w:ascii="Times New Roman" w:hAnsi="Times New Roman" w:cs="Times New Roman"/>
          <w:color w:val="000000" w:themeColor="text1"/>
          <w:sz w:val="24"/>
          <w14:textFill>
            <w14:solidFill>
              <w14:schemeClr w14:val="tx1"/>
            </w14:solidFill>
          </w14:textFill>
        </w:rPr>
        <w:t xml:space="preserve">(20-25g) was injected into the pancreatic tissues. Immunofluorescence and western-blotting were peformed to determine genes expression 2 weeks late after virus delivery. While virus injection was finished nine days late, </w:t>
      </w:r>
      <w:r>
        <w:rPr>
          <w:rFonts w:ascii="Times New Roman" w:hAnsi="Times New Roman" w:eastAsia="宋体" w:cs="Times New Roman"/>
          <w:bCs/>
          <w:i/>
          <w:iCs/>
          <w:color w:val="000000" w:themeColor="text1"/>
          <w:sz w:val="24"/>
          <w:lang w:bidi="ar"/>
          <w14:textFill>
            <w14:solidFill>
              <w14:schemeClr w14:val="tx1"/>
            </w14:solidFill>
          </w14:textFill>
        </w:rPr>
        <w:t>PRSS1</w:t>
      </w:r>
      <w:r>
        <w:rPr>
          <w:rFonts w:ascii="Times New Roman" w:hAnsi="Times New Roman" w:eastAsia="宋体" w:cs="Times New Roman"/>
          <w:bCs/>
          <w:i/>
          <w:iCs/>
          <w:color w:val="000000" w:themeColor="text1"/>
          <w:sz w:val="24"/>
          <w:vertAlign w:val="superscript"/>
          <w:lang w:bidi="ar"/>
          <w14:textFill>
            <w14:solidFill>
              <w14:schemeClr w14:val="tx1"/>
            </w14:solidFill>
          </w14:textFill>
        </w:rPr>
        <w:t>Tg</w:t>
      </w:r>
      <w:r>
        <w:rPr>
          <w:rFonts w:ascii="Times New Roman" w:hAnsi="Times New Roman" w:cs="Times New Roman"/>
          <w:color w:val="000000" w:themeColor="text1"/>
          <w:sz w:val="24"/>
          <w14:textFill>
            <w14:solidFill>
              <w14:schemeClr w14:val="tx1"/>
            </w14:solidFill>
          </w14:textFill>
        </w:rPr>
        <w:t xml:space="preserve"> mice</w:t>
      </w:r>
      <w:r>
        <w:rPr>
          <w:rFonts w:hint="eastAsia" w:ascii="Times New Roman" w:hAnsi="Times New Roman" w:cs="Times New Roman"/>
          <w:color w:val="000000" w:themeColor="text1"/>
          <w:sz w:val="24"/>
          <w14:textFill>
            <w14:solidFill>
              <w14:schemeClr w14:val="tx1"/>
            </w14:solidFill>
          </w14:textFill>
        </w:rPr>
        <w:t xml:space="preserve"> were treated with caerulein intraperitoneally to establish CP model subsequently. All adenoviral vectors were purchased from VectorBuilder Inc. (Guangzhou, China).</w:t>
      </w:r>
    </w:p>
    <w:p>
      <w:pPr>
        <w:autoSpaceDE w:val="0"/>
        <w:autoSpaceDN w:val="0"/>
        <w:adjustRightInd w:val="0"/>
        <w:snapToGrid w:val="0"/>
        <w:spacing w:line="480" w:lineRule="auto"/>
        <w:rPr>
          <w:rFonts w:ascii="Times New Roman" w:hAnsi="Times New Roman" w:cs="Times New Roman"/>
          <w:b/>
          <w:bCs/>
          <w:color w:val="000000" w:themeColor="text1"/>
          <w:sz w:val="24"/>
          <w14:textFill>
            <w14:solidFill>
              <w14:schemeClr w14:val="tx1"/>
            </w14:solidFill>
          </w14:textFill>
        </w:rPr>
      </w:pPr>
      <w:bookmarkStart w:id="1" w:name="OLE_LINK11"/>
      <w:bookmarkStart w:id="2" w:name="_Hlk29248744"/>
      <w:bookmarkStart w:id="3" w:name="OLE_LINK5"/>
      <w:r>
        <w:rPr>
          <w:rFonts w:ascii="Times New Roman" w:hAnsi="Times New Roman" w:cs="Times New Roman"/>
          <w:b/>
          <w:bCs/>
          <w:sz w:val="24"/>
        </w:rPr>
        <w:t xml:space="preserve">Immunofluorescence assay </w:t>
      </w:r>
      <w:r>
        <w:rPr>
          <w:rFonts w:hint="eastAsia" w:ascii="Times New Roman" w:hAnsi="Times New Roman" w:cs="Times New Roman"/>
          <w:b/>
          <w:bCs/>
          <w:sz w:val="24"/>
        </w:rPr>
        <w:t xml:space="preserve">and </w:t>
      </w:r>
      <w:r>
        <w:rPr>
          <w:rFonts w:ascii="Times New Roman" w:hAnsi="Times New Roman" w:cs="Times New Roman"/>
          <w:b/>
          <w:bCs/>
          <w:sz w:val="24"/>
        </w:rPr>
        <w:t>Immunohistochemistry</w:t>
      </w:r>
      <w:bookmarkEnd w:id="1"/>
      <w:bookmarkEnd w:id="2"/>
      <w:r>
        <w:rPr>
          <w:rFonts w:ascii="Times New Roman" w:hAnsi="Times New Roman" w:cs="Times New Roman"/>
          <w:b/>
          <w:bCs/>
          <w:color w:val="000000" w:themeColor="text1"/>
          <w:sz w:val="24"/>
          <w14:textFill>
            <w14:solidFill>
              <w14:schemeClr w14:val="tx1"/>
            </w14:solidFill>
          </w14:textFill>
        </w:rPr>
        <w:t xml:space="preserve"> </w:t>
      </w:r>
    </w:p>
    <w:p>
      <w:pPr>
        <w:autoSpaceDE w:val="0"/>
        <w:autoSpaceDN w:val="0"/>
        <w:adjustRightInd w:val="0"/>
        <w:snapToGrid w:val="0"/>
        <w:spacing w:line="480" w:lineRule="auto"/>
        <w:rPr>
          <w:rFonts w:ascii="Times New Roman" w:hAnsi="Times New Roman" w:eastAsia="宋体" w:cs="Times New Roman"/>
          <w:sz w:val="24"/>
          <w:lang w:bidi="ar"/>
        </w:rPr>
      </w:pPr>
      <w:r>
        <w:rPr>
          <w:rFonts w:ascii="Times New Roman" w:hAnsi="Times New Roman" w:cs="Times New Roman"/>
          <w:sz w:val="24"/>
        </w:rPr>
        <w:t>For visualization of</w:t>
      </w:r>
      <w:r>
        <w:rPr>
          <w:rFonts w:hint="eastAsia" w:ascii="Times New Roman" w:hAnsi="Times New Roman" w:cs="Times New Roman"/>
          <w:sz w:val="24"/>
        </w:rPr>
        <w:t xml:space="preserve"> F4/80, </w:t>
      </w:r>
      <w:r>
        <w:rPr>
          <w:rFonts w:ascii="Times New Roman" w:hAnsi="Times New Roman" w:cs="Times New Roman"/>
          <w:sz w:val="24"/>
        </w:rPr>
        <w:t>α-SMA</w:t>
      </w:r>
      <w:r>
        <w:rPr>
          <w:rFonts w:hint="eastAsia" w:ascii="Times New Roman" w:hAnsi="Times New Roman" w:cs="Times New Roman"/>
          <w:sz w:val="24"/>
        </w:rPr>
        <w:t xml:space="preserve"> expression</w:t>
      </w:r>
      <w:r>
        <w:rPr>
          <w:rFonts w:ascii="Times New Roman" w:hAnsi="Times New Roman" w:cs="Times New Roman"/>
          <w:sz w:val="24"/>
        </w:rPr>
        <w:t xml:space="preserve"> in pancreatic tissue, immunofluorescence assay was performed using </w:t>
      </w:r>
      <w:r>
        <w:rPr>
          <w:rFonts w:hint="eastAsia" w:ascii="Times New Roman" w:hAnsi="Times New Roman" w:cs="Times New Roman"/>
          <w:sz w:val="24"/>
        </w:rPr>
        <w:t>primary</w:t>
      </w:r>
      <w:r>
        <w:rPr>
          <w:rFonts w:ascii="Times New Roman" w:hAnsi="Times New Roman" w:cs="Times New Roman"/>
          <w:sz w:val="24"/>
        </w:rPr>
        <w:t xml:space="preserve"> antibodies tageting </w:t>
      </w:r>
      <w:r>
        <w:rPr>
          <w:rFonts w:ascii="Times New Roman" w:hAnsi="Times New Roman" w:eastAsia="宋体" w:cs="Times New Roman"/>
          <w:sz w:val="24"/>
          <w:lang w:bidi="ar"/>
        </w:rPr>
        <w:t>F4/80 (Bioss;</w:t>
      </w:r>
      <w:r>
        <w:rPr>
          <w:rFonts w:hint="eastAsia" w:ascii="Times New Roman" w:hAnsi="Times New Roman" w:eastAsia="宋体" w:cs="Times New Roman"/>
          <w:sz w:val="24"/>
          <w:lang w:bidi="ar"/>
        </w:rPr>
        <w:t xml:space="preserve"> </w:t>
      </w:r>
      <w:r>
        <w:rPr>
          <w:rFonts w:ascii="Times New Roman" w:hAnsi="Times New Roman" w:eastAsia="宋体" w:cs="Times New Roman"/>
          <w:sz w:val="24"/>
          <w:lang w:bidi="ar"/>
        </w:rPr>
        <w:t>diluted 1: 100)</w:t>
      </w:r>
      <w:r>
        <w:rPr>
          <w:rFonts w:hint="eastAsia" w:ascii="Times New Roman" w:hAnsi="Times New Roman" w:eastAsia="宋体" w:cs="Times New Roman"/>
          <w:sz w:val="24"/>
          <w:lang w:bidi="ar"/>
        </w:rPr>
        <w:t xml:space="preserve"> and </w:t>
      </w:r>
      <w:r>
        <w:rPr>
          <w:rFonts w:ascii="Times New Roman" w:hAnsi="Times New Roman" w:cs="Times New Roman"/>
          <w:sz w:val="24"/>
        </w:rPr>
        <w:t>α-SMA (</w:t>
      </w:r>
      <w:r>
        <w:rPr>
          <w:rFonts w:hint="eastAsia" w:ascii="Times New Roman" w:hAnsi="Times New Roman" w:eastAsia="宋体" w:cs="Times New Roman"/>
          <w:sz w:val="24"/>
          <w:lang w:bidi="ar"/>
        </w:rPr>
        <w:t>Abcam; diluted 1:100</w:t>
      </w:r>
      <w:r>
        <w:rPr>
          <w:rFonts w:ascii="Times New Roman" w:hAnsi="Times New Roman" w:cs="Times New Roman"/>
          <w:sz w:val="24"/>
        </w:rPr>
        <w:t>)</w:t>
      </w:r>
      <w:r>
        <w:rPr>
          <w:rFonts w:hint="eastAsia" w:ascii="Times New Roman" w:hAnsi="Times New Roman" w:cs="Times New Roman"/>
          <w:sz w:val="24"/>
        </w:rPr>
        <w:t xml:space="preserve"> respectively. Pancreatic tissues from mice were collected and sliced into 5 </w:t>
      </w:r>
      <w:r>
        <w:rPr>
          <w:rFonts w:ascii="Times New Roman" w:hAnsi="Times New Roman" w:eastAsia="等线" w:cs="Times New Roman"/>
          <w:sz w:val="24"/>
        </w:rPr>
        <w:t xml:space="preserve">μm </w:t>
      </w:r>
      <w:bookmarkStart w:id="4" w:name="OLE_LINK15"/>
      <w:r>
        <w:rPr>
          <w:rFonts w:ascii="Times New Roman" w:hAnsi="Times New Roman" w:eastAsia="等线" w:cs="Times New Roman"/>
          <w:sz w:val="24"/>
        </w:rPr>
        <w:t>tissue sections</w:t>
      </w:r>
      <w:bookmarkEnd w:id="4"/>
      <w:r>
        <w:rPr>
          <w:rFonts w:hint="eastAsia" w:ascii="Times New Roman" w:hAnsi="Times New Roman" w:eastAsia="等线" w:cs="Times New Roman"/>
          <w:sz w:val="24"/>
        </w:rPr>
        <w:t xml:space="preserve">, and then fixed with 4% paraformaldehyde for 24 hours, </w:t>
      </w:r>
      <w:r>
        <w:rPr>
          <w:rFonts w:ascii="Times New Roman" w:hAnsi="Times New Roman" w:eastAsia="等线" w:cs="Times New Roman"/>
          <w:sz w:val="24"/>
        </w:rPr>
        <w:t>and embedded in paraffin</w:t>
      </w:r>
      <w:r>
        <w:rPr>
          <w:rFonts w:hint="eastAsia" w:ascii="Times New Roman" w:hAnsi="Times New Roman" w:eastAsia="等线" w:cs="Times New Roman"/>
          <w:sz w:val="24"/>
        </w:rPr>
        <w:t xml:space="preserve">. Lylene was used to dewax, and gradient ethanol was used to hydration for 1 </w:t>
      </w:r>
      <w:r>
        <w:rPr>
          <w:rFonts w:ascii="Times New Roman" w:hAnsi="Times New Roman" w:eastAsia="等线" w:cs="Times New Roman"/>
          <w:sz w:val="24"/>
        </w:rPr>
        <w:t>h</w:t>
      </w:r>
      <w:r>
        <w:rPr>
          <w:rStyle w:val="8"/>
          <w:rFonts w:ascii="Times New Roman" w:hAnsi="Times New Roman" w:cs="Times New Roman"/>
          <w:sz w:val="24"/>
          <w:szCs w:val="24"/>
        </w:rPr>
        <w:t>our</w:t>
      </w:r>
      <w:r>
        <w:rPr>
          <w:rFonts w:hint="eastAsia" w:ascii="Times New Roman" w:hAnsi="Times New Roman" w:eastAsia="等线" w:cs="Times New Roman"/>
          <w:sz w:val="24"/>
        </w:rPr>
        <w:t>, then washed with distilled water. Antigen was repaired by boilingwater with 0.01M citric acid repair fluid for 15 minutes, wasded with PBS twice</w:t>
      </w:r>
      <w:r>
        <w:rPr>
          <w:rFonts w:ascii="Times New Roman" w:hAnsi="Times New Roman" w:eastAsia="等线" w:cs="Times New Roman"/>
          <w:sz w:val="24"/>
        </w:rPr>
        <w:t xml:space="preserve"> </w:t>
      </w:r>
      <w:r>
        <w:rPr>
          <w:rFonts w:hint="eastAsia" w:ascii="Times New Roman" w:hAnsi="Times New Roman" w:eastAsia="等线" w:cs="Times New Roman"/>
          <w:sz w:val="24"/>
        </w:rPr>
        <w:t>(15 minutes/time), and then blocked with serum for 20 minutes. Tissue sections were incubated with primary antibodies at room temperature for 2 hours, washed in PBST solution for three times. DAPI was used for nuclear staining. T</w:t>
      </w:r>
      <w:r>
        <w:rPr>
          <w:rFonts w:hint="eastAsia" w:ascii="Times New Roman" w:hAnsi="Times New Roman" w:cs="Times New Roman"/>
          <w:sz w:val="24"/>
        </w:rPr>
        <w:t>issue slides were incubated with fluorescein isothiocyanate (FITC) or phycoerythrin (PE)-conjugated secondary antibodies (Sangon, Shanghai) after primary antibody incubation.</w:t>
      </w:r>
      <w:r>
        <w:rPr>
          <w:rFonts w:ascii="Times New Roman" w:hAnsi="Times New Roman" w:cs="Times New Roman"/>
          <w:sz w:val="24"/>
        </w:rPr>
        <w:t xml:space="preserve"> Immunofluorescence images were acquired using a fluorescent microscope. </w:t>
      </w:r>
      <w:r>
        <w:rPr>
          <w:rFonts w:ascii="Times New Roman" w:hAnsi="Times New Roman" w:eastAsia="宋体" w:cs="Times New Roman"/>
          <w:sz w:val="24"/>
          <w:lang w:bidi="ar"/>
        </w:rPr>
        <w:t>To visualize molecular markers of these markers</w:t>
      </w:r>
      <w:bookmarkEnd w:id="3"/>
      <w:r>
        <w:rPr>
          <w:rFonts w:ascii="Times New Roman" w:hAnsi="Times New Roman" w:eastAsia="宋体" w:cs="Times New Roman"/>
          <w:sz w:val="24"/>
          <w:lang w:bidi="ar"/>
        </w:rPr>
        <w:t xml:space="preserve">, </w:t>
      </w:r>
      <w:r>
        <w:rPr>
          <w:rFonts w:hint="eastAsia" w:ascii="Times New Roman" w:hAnsi="Times New Roman" w:eastAsia="宋体" w:cs="Times New Roman"/>
          <w:sz w:val="24"/>
          <w:lang w:bidi="ar"/>
        </w:rPr>
        <w:t>the IHC assay based on the horseradish peroxidase system was performed using specific antibodies. M</w:t>
      </w:r>
      <w:r>
        <w:rPr>
          <w:rFonts w:ascii="Times New Roman" w:hAnsi="Times New Roman" w:eastAsia="宋体" w:cs="Times New Roman"/>
          <w:sz w:val="24"/>
          <w:lang w:bidi="ar"/>
        </w:rPr>
        <w:t xml:space="preserve">ouse pancreatic tissues were sliced into piece with the thickness of </w:t>
      </w:r>
      <w:r>
        <w:rPr>
          <w:rFonts w:hint="eastAsia" w:ascii="Times New Roman" w:hAnsi="Times New Roman" w:eastAsia="宋体" w:cs="Times New Roman"/>
          <w:sz w:val="24"/>
          <w:lang w:bidi="ar"/>
        </w:rPr>
        <w:t xml:space="preserve">5 </w:t>
      </w:r>
      <w:r>
        <w:rPr>
          <w:rFonts w:ascii="Times New Roman" w:hAnsi="Times New Roman" w:eastAsia="等线" w:cs="Times New Roman"/>
          <w:sz w:val="24"/>
        </w:rPr>
        <w:t>μ</w:t>
      </w:r>
      <w:r>
        <w:rPr>
          <w:rFonts w:ascii="Times New Roman" w:hAnsi="Times New Roman" w:eastAsia="宋体" w:cs="Times New Roman"/>
          <w:sz w:val="24"/>
          <w:lang w:bidi="ar"/>
        </w:rPr>
        <w:t xml:space="preserve">m. </w:t>
      </w:r>
      <w:r>
        <w:rPr>
          <w:rFonts w:hint="eastAsia" w:ascii="Times New Roman" w:hAnsi="Times New Roman" w:eastAsia="宋体" w:cs="Times New Roman"/>
          <w:sz w:val="24"/>
          <w:lang w:bidi="ar"/>
        </w:rPr>
        <w:t>S</w:t>
      </w:r>
      <w:r>
        <w:rPr>
          <w:rFonts w:ascii="Times New Roman" w:hAnsi="Times New Roman" w:eastAsia="宋体" w:cs="Times New Roman"/>
          <w:sz w:val="24"/>
          <w:lang w:bidi="ar"/>
        </w:rPr>
        <w:t>lides were incubated with antibodies against F4/80 (Bioss;</w:t>
      </w:r>
      <w:r>
        <w:rPr>
          <w:rFonts w:hint="eastAsia" w:ascii="Times New Roman" w:hAnsi="Times New Roman" w:eastAsia="宋体" w:cs="Times New Roman"/>
          <w:sz w:val="24"/>
          <w:lang w:bidi="ar"/>
        </w:rPr>
        <w:t xml:space="preserve"> </w:t>
      </w:r>
      <w:r>
        <w:rPr>
          <w:rFonts w:ascii="Times New Roman" w:hAnsi="Times New Roman" w:eastAsia="宋体" w:cs="Times New Roman"/>
          <w:sz w:val="24"/>
          <w:lang w:bidi="ar"/>
        </w:rPr>
        <w:t xml:space="preserve">diluted 1: 100), CD86 (Proteintech; diluted 1: 100), </w:t>
      </w:r>
      <w:r>
        <w:rPr>
          <w:rFonts w:hint="eastAsia" w:ascii="Times New Roman" w:hAnsi="Times New Roman" w:eastAsia="宋体" w:cs="Times New Roman"/>
          <w:sz w:val="24"/>
          <w:lang w:bidi="ar"/>
        </w:rPr>
        <w:t>TLR</w:t>
      </w:r>
      <w:r>
        <w:rPr>
          <w:rFonts w:ascii="Times New Roman" w:hAnsi="Times New Roman" w:eastAsia="宋体" w:cs="Times New Roman"/>
          <w:sz w:val="24"/>
          <w:lang w:bidi="ar"/>
        </w:rPr>
        <w:t>2, (Signalway Antibody; diluted 1: 100)</w:t>
      </w:r>
      <w:r>
        <w:rPr>
          <w:rFonts w:hint="eastAsia" w:ascii="Times New Roman" w:hAnsi="Times New Roman" w:eastAsia="宋体" w:cs="Times New Roman"/>
          <w:sz w:val="24"/>
          <w:lang w:bidi="ar"/>
        </w:rPr>
        <w:t xml:space="preserve">, </w:t>
      </w:r>
      <w:r>
        <w:rPr>
          <w:rFonts w:ascii="Times New Roman" w:hAnsi="Times New Roman" w:eastAsia="宋体" w:cs="Times New Roman"/>
          <w:sz w:val="24"/>
          <w:lang w:bidi="ar"/>
        </w:rPr>
        <w:t>CD206 (Bioss; diluted 1: 100)</w:t>
      </w:r>
      <w:r>
        <w:rPr>
          <w:rFonts w:hint="eastAsia" w:ascii="Times New Roman" w:hAnsi="Times New Roman" w:eastAsia="宋体" w:cs="Times New Roman"/>
          <w:sz w:val="24"/>
          <w:lang w:bidi="ar"/>
        </w:rPr>
        <w:t xml:space="preserve">, </w:t>
      </w:r>
      <w:r>
        <w:rPr>
          <w:rFonts w:ascii="Times New Roman" w:hAnsi="Times New Roman" w:eastAsia="宋体" w:cs="Times New Roman"/>
          <w:sz w:val="24"/>
          <w:lang w:bidi="ar"/>
        </w:rPr>
        <w:t>ARG1 (</w:t>
      </w:r>
      <w:bookmarkStart w:id="5" w:name="OLE_LINK9"/>
      <w:r>
        <w:rPr>
          <w:rFonts w:ascii="Times New Roman" w:hAnsi="Times New Roman" w:eastAsia="宋体" w:cs="Times New Roman"/>
          <w:sz w:val="24"/>
          <w:lang w:bidi="ar"/>
        </w:rPr>
        <w:t>Abclonal; diluted 1: 200</w:t>
      </w:r>
      <w:bookmarkEnd w:id="5"/>
      <w:r>
        <w:rPr>
          <w:rFonts w:ascii="Times New Roman" w:hAnsi="Times New Roman" w:eastAsia="宋体" w:cs="Times New Roman"/>
          <w:sz w:val="24"/>
          <w:lang w:bidi="ar"/>
        </w:rPr>
        <w:t>)</w:t>
      </w:r>
      <w:r>
        <w:rPr>
          <w:rFonts w:hint="eastAsia" w:ascii="Times New Roman" w:hAnsi="Times New Roman" w:eastAsia="宋体" w:cs="Times New Roman"/>
          <w:sz w:val="24"/>
          <w:lang w:bidi="ar"/>
        </w:rPr>
        <w:t xml:space="preserve"> </w:t>
      </w:r>
      <w:r>
        <w:rPr>
          <w:rFonts w:ascii="Times New Roman" w:hAnsi="Times New Roman" w:eastAsia="宋体" w:cs="Times New Roman"/>
          <w:sz w:val="24"/>
          <w:lang w:bidi="ar"/>
        </w:rPr>
        <w:t>overnight at 4℃</w:t>
      </w:r>
      <w:r>
        <w:rPr>
          <w:rFonts w:hint="eastAsia" w:ascii="Times New Roman" w:hAnsi="Times New Roman" w:eastAsia="宋体" w:cs="Times New Roman"/>
          <w:sz w:val="24"/>
          <w:lang w:bidi="ar"/>
        </w:rPr>
        <w:t>，</w:t>
      </w:r>
      <w:r>
        <w:rPr>
          <w:rFonts w:ascii="Times New Roman" w:hAnsi="Times New Roman" w:eastAsia="宋体" w:cs="Times New Roman"/>
          <w:sz w:val="24"/>
          <w:lang w:bidi="ar"/>
        </w:rPr>
        <w:t>and then were applied for staining and incubation by secondary antibodies at room temperature for 60</w:t>
      </w:r>
      <w:r>
        <w:rPr>
          <w:rFonts w:hint="eastAsia" w:ascii="Times New Roman" w:hAnsi="Times New Roman" w:eastAsia="宋体" w:cs="Times New Roman"/>
          <w:sz w:val="24"/>
          <w:lang w:bidi="ar"/>
        </w:rPr>
        <w:t xml:space="preserve"> </w:t>
      </w:r>
      <w:r>
        <w:rPr>
          <w:rFonts w:ascii="Times New Roman" w:hAnsi="Times New Roman" w:eastAsia="宋体" w:cs="Times New Roman"/>
          <w:sz w:val="24"/>
          <w:lang w:bidi="ar"/>
        </w:rPr>
        <w:t>min</w:t>
      </w:r>
      <w:r>
        <w:rPr>
          <w:rFonts w:hint="eastAsia" w:ascii="Times New Roman" w:hAnsi="Times New Roman" w:eastAsia="宋体" w:cs="Times New Roman"/>
          <w:sz w:val="24"/>
          <w:lang w:bidi="ar"/>
        </w:rPr>
        <w:t>utes</w:t>
      </w:r>
      <w:r>
        <w:rPr>
          <w:rFonts w:ascii="Times New Roman" w:hAnsi="Times New Roman" w:eastAsia="宋体" w:cs="Times New Roman"/>
          <w:sz w:val="24"/>
          <w:lang w:bidi="ar"/>
        </w:rPr>
        <w:t>. Positive staining of cells were separately evaluated by two experienced pathologists in a double-blinded manner.</w:t>
      </w:r>
    </w:p>
    <w:p>
      <w:pPr>
        <w:adjustRightInd w:val="0"/>
        <w:snapToGrid w:val="0"/>
        <w:spacing w:line="480" w:lineRule="auto"/>
        <w:rPr>
          <w:rFonts w:ascii="Times New Roman" w:hAnsi="Times New Roman" w:cs="Times New Roman"/>
          <w:b/>
          <w:bCs/>
          <w:sz w:val="24"/>
        </w:rPr>
      </w:pPr>
      <w:bookmarkStart w:id="6" w:name="OLE_LINK4"/>
      <w:r>
        <w:rPr>
          <w:rFonts w:ascii="Times New Roman" w:hAnsi="Times New Roman" w:cs="Times New Roman"/>
          <w:b/>
          <w:bCs/>
          <w:sz w:val="24"/>
        </w:rPr>
        <w:t>Histological and fibrosis evaluation</w:t>
      </w:r>
      <w:bookmarkEnd w:id="6"/>
      <w:r>
        <w:rPr>
          <w:rFonts w:ascii="Times New Roman" w:hAnsi="Times New Roman" w:cs="Times New Roman"/>
          <w:b/>
          <w:bCs/>
          <w:sz w:val="24"/>
        </w:rPr>
        <w:t>.</w:t>
      </w:r>
    </w:p>
    <w:p>
      <w:pPr>
        <w:adjustRightInd w:val="0"/>
        <w:snapToGrid w:val="0"/>
        <w:spacing w:line="480" w:lineRule="auto"/>
        <w:rPr>
          <w:rFonts w:ascii="Times New Roman" w:hAnsi="Times New Roman" w:cs="Times New Roman"/>
          <w:sz w:val="24"/>
        </w:rPr>
      </w:pPr>
      <w:r>
        <w:rPr>
          <w:rFonts w:ascii="Times New Roman" w:hAnsi="Times New Roman" w:cs="Times New Roman"/>
          <w:sz w:val="24"/>
        </w:rPr>
        <w:t>Hematoxylin and Eosin Staining was performed to observe structural modification of tissues. The pancreatic tissues were stabilized with 4% paraformaldehyde for 24</w:t>
      </w:r>
      <w:r>
        <w:rPr>
          <w:rFonts w:hint="eastAsia" w:ascii="Times New Roman" w:hAnsi="Times New Roman" w:cs="Times New Roman"/>
          <w:sz w:val="24"/>
        </w:rPr>
        <w:t xml:space="preserve"> hours </w:t>
      </w:r>
      <w:r>
        <w:rPr>
          <w:rFonts w:ascii="Times New Roman" w:hAnsi="Times New Roman" w:cs="Times New Roman"/>
          <w:sz w:val="24"/>
        </w:rPr>
        <w:t>to make a paraffin-embedded slice (embedded in paraffin. After fixation, the tissue was cut into 5 μm thick sections, and then stained with hematoxylin and eosin.)</w:t>
      </w:r>
      <w:r>
        <w:rPr>
          <w:rFonts w:hint="eastAsia" w:ascii="Times New Roman" w:hAnsi="Times New Roman" w:cs="Times New Roman"/>
          <w:sz w:val="24"/>
        </w:rPr>
        <w:t>.</w:t>
      </w:r>
      <w:r>
        <w:rPr>
          <w:rFonts w:ascii="Times New Roman" w:hAnsi="Times New Roman" w:cs="Times New Roman"/>
          <w:sz w:val="24"/>
        </w:rPr>
        <w:t xml:space="preserve"> Tissue sections were dewaxed in xylene 2 times </w:t>
      </w:r>
      <w:bookmarkStart w:id="7" w:name="OLE_LINK13"/>
      <w:r>
        <w:rPr>
          <w:rFonts w:ascii="Times New Roman" w:hAnsi="Times New Roman" w:cs="Times New Roman"/>
          <w:sz w:val="24"/>
        </w:rPr>
        <w:t>(5 min</w:t>
      </w:r>
      <w:r>
        <w:rPr>
          <w:rFonts w:hint="eastAsia" w:ascii="Times New Roman" w:hAnsi="Times New Roman" w:cs="Times New Roman"/>
          <w:sz w:val="24"/>
        </w:rPr>
        <w:t>utes</w:t>
      </w:r>
      <w:r>
        <w:rPr>
          <w:rFonts w:ascii="Times New Roman" w:hAnsi="Times New Roman" w:cs="Times New Roman"/>
          <w:sz w:val="24"/>
        </w:rPr>
        <w:t>/time)</w:t>
      </w:r>
      <w:bookmarkEnd w:id="7"/>
      <w:r>
        <w:rPr>
          <w:rFonts w:ascii="Times New Roman" w:hAnsi="Times New Roman" w:cs="Times New Roman"/>
          <w:sz w:val="24"/>
        </w:rPr>
        <w:t xml:space="preserve">, </w:t>
      </w:r>
      <w:bookmarkStart w:id="8" w:name="OLE_LINK16"/>
      <w:r>
        <w:rPr>
          <w:rFonts w:ascii="Times New Roman" w:hAnsi="Times New Roman" w:cs="Times New Roman"/>
          <w:sz w:val="24"/>
        </w:rPr>
        <w:t>dehydrated with gradient alcohol</w:t>
      </w:r>
      <w:bookmarkEnd w:id="8"/>
      <w:r>
        <w:rPr>
          <w:rFonts w:ascii="Times New Roman" w:hAnsi="Times New Roman" w:cs="Times New Roman"/>
          <w:sz w:val="24"/>
        </w:rPr>
        <w:t>, and</w:t>
      </w:r>
      <w:bookmarkStart w:id="9" w:name="OLE_LINK14"/>
      <w:r>
        <w:rPr>
          <w:rFonts w:ascii="Times New Roman" w:hAnsi="Times New Roman" w:cs="Times New Roman"/>
          <w:sz w:val="24"/>
        </w:rPr>
        <w:t xml:space="preserve"> washed with distilled water </w:t>
      </w:r>
      <w:bookmarkEnd w:id="9"/>
      <w:r>
        <w:rPr>
          <w:rFonts w:ascii="Times New Roman" w:hAnsi="Times New Roman" w:cs="Times New Roman"/>
          <w:sz w:val="24"/>
        </w:rPr>
        <w:t>(5 minutes). Then, slices were stained with hematoxylin (5 minutes) and differentiated with 1% hydrochloric acid (30 seconds), followed by 1% eosin-alcohol dyeing (5 minutes). Pancreatic sections were assessed under a microscope (magnification, 200×) over ten separate fields for severity of pancreatitis by scoring for edema, inflammatory infiltrate, acinar cell necrosis, and hemorrhage. Masson’s trichrome staining was to evaluate α-SMA and Collagen content in pancreatic tissue by Masson’s trichrome pancreatic kit according to manufacturer's specifications.</w:t>
      </w:r>
    </w:p>
    <w:p>
      <w:pPr>
        <w:adjustRightInd w:val="0"/>
        <w:snapToGrid w:val="0"/>
        <w:spacing w:line="480" w:lineRule="auto"/>
        <w:rPr>
          <w:rFonts w:ascii="Times New Roman" w:hAnsi="Times New Roman" w:cs="Times New Roman"/>
          <w:b/>
          <w:bCs/>
          <w:sz w:val="24"/>
        </w:rPr>
      </w:pPr>
      <w:r>
        <w:rPr>
          <w:rFonts w:ascii="Times New Roman" w:hAnsi="Times New Roman" w:cs="Times New Roman"/>
          <w:b/>
          <w:bCs/>
          <w:sz w:val="24"/>
        </w:rPr>
        <w:t>Western blotting</w:t>
      </w:r>
      <w:bookmarkStart w:id="10" w:name="OLE_LINK6"/>
    </w:p>
    <w:p>
      <w:pPr>
        <w:adjustRightInd w:val="0"/>
        <w:snapToGrid w:val="0"/>
        <w:spacing w:line="480" w:lineRule="auto"/>
        <w:rPr>
          <w:rFonts w:ascii="Times New Roman" w:hAnsi="Times New Roman" w:eastAsia="宋体" w:cs="Times New Roman"/>
          <w:sz w:val="24"/>
          <w:lang w:bidi="ar"/>
        </w:rPr>
      </w:pPr>
      <w:r>
        <w:rPr>
          <w:rFonts w:ascii="Times New Roman" w:hAnsi="Times New Roman" w:cs="Times New Roman"/>
          <w:sz w:val="24"/>
        </w:rPr>
        <w:t>T</w:t>
      </w:r>
      <w:r>
        <w:rPr>
          <w:rFonts w:ascii="Times New Roman" w:hAnsi="Times New Roman" w:eastAsia="宋体" w:cs="Times New Roman"/>
          <w:sz w:val="24"/>
          <w:lang w:bidi="ar"/>
        </w:rPr>
        <w:t>otal protein was extracted from the mouse pancreatic tissues using</w:t>
      </w:r>
      <w:r>
        <w:rPr>
          <w:rFonts w:ascii="Times New Roman" w:hAnsi="Times New Roman" w:eastAsia="宋体" w:cs="Times New Roman"/>
          <w:color w:val="000000" w:themeColor="text1"/>
          <w:sz w:val="24"/>
          <w:lang w:bidi="ar"/>
          <w14:textFill>
            <w14:solidFill>
              <w14:schemeClr w14:val="tx1"/>
            </w14:solidFill>
          </w14:textFill>
        </w:rPr>
        <w:t xml:space="preserve"> the Tissue or Cell Total Protein Extraction Kit </w:t>
      </w:r>
      <w:r>
        <w:rPr>
          <w:rFonts w:ascii="Times New Roman" w:hAnsi="Times New Roman" w:eastAsia="宋体" w:cs="Times New Roman"/>
          <w:sz w:val="24"/>
          <w:lang w:bidi="ar"/>
        </w:rPr>
        <w:t xml:space="preserve">(C510003; Sangon, Shanghai, China) following the manufacturer’s </w:t>
      </w:r>
      <w:r>
        <w:rPr>
          <w:rFonts w:ascii="Times New Roman" w:hAnsi="Times New Roman" w:eastAsia="等线" w:cs="Times New Roman"/>
          <w:sz w:val="24"/>
        </w:rPr>
        <w:t>protocol</w:t>
      </w:r>
      <w:r>
        <w:rPr>
          <w:rFonts w:ascii="Times New Roman" w:hAnsi="Times New Roman" w:eastAsia="宋体" w:cs="Times New Roman"/>
          <w:sz w:val="24"/>
          <w:lang w:bidi="ar"/>
        </w:rPr>
        <w:t>.</w:t>
      </w:r>
      <w:bookmarkEnd w:id="10"/>
      <w:r>
        <w:rPr>
          <w:rFonts w:ascii="Times New Roman" w:hAnsi="Times New Roman" w:eastAsia="宋体" w:cs="Times New Roman"/>
          <w:sz w:val="24"/>
          <w:lang w:bidi="ar"/>
        </w:rPr>
        <w:t xml:space="preserve"> After protein concentration finished, protein from each sample was separated and transferred onto a PVDF membrane (</w:t>
      </w:r>
      <w:r>
        <w:rPr>
          <w:rFonts w:ascii="Times New Roman" w:hAnsi="Times New Roman" w:eastAsia="等线" w:cs="Times New Roman"/>
          <w:sz w:val="24"/>
        </w:rPr>
        <w:t>Millipore, USA</w:t>
      </w:r>
      <w:r>
        <w:rPr>
          <w:rFonts w:ascii="Times New Roman" w:hAnsi="Times New Roman" w:eastAsia="宋体" w:cs="Times New Roman"/>
          <w:sz w:val="24"/>
          <w:lang w:bidi="ar"/>
        </w:rPr>
        <w:t>).</w:t>
      </w:r>
      <w:r>
        <w:rPr>
          <w:rFonts w:ascii="Times New Roman" w:hAnsi="Times New Roman" w:eastAsia="宋体" w:cs="Times New Roman"/>
          <w:color w:val="0000FF"/>
          <w:sz w:val="24"/>
          <w:lang w:bidi="ar"/>
        </w:rPr>
        <w:t xml:space="preserve"> </w:t>
      </w:r>
      <w:r>
        <w:rPr>
          <w:rFonts w:ascii="Times New Roman" w:hAnsi="Times New Roman" w:eastAsia="宋体" w:cs="Times New Roman"/>
          <w:color w:val="000000" w:themeColor="text1"/>
          <w:sz w:val="24"/>
          <w:lang w:bidi="ar"/>
          <w14:textFill>
            <w14:solidFill>
              <w14:schemeClr w14:val="tx1"/>
            </w14:solidFill>
          </w14:textFill>
        </w:rPr>
        <w:t xml:space="preserve">The membrane was </w:t>
      </w:r>
      <w:bookmarkStart w:id="11" w:name="OLE_LINK7"/>
      <w:r>
        <w:rPr>
          <w:rFonts w:ascii="Times New Roman" w:hAnsi="Times New Roman" w:eastAsia="宋体" w:cs="Times New Roman"/>
          <w:color w:val="000000" w:themeColor="text1"/>
          <w:sz w:val="24"/>
          <w:lang w:bidi="ar"/>
          <w14:textFill>
            <w14:solidFill>
              <w14:schemeClr w14:val="tx1"/>
            </w14:solidFill>
          </w14:textFill>
        </w:rPr>
        <w:t>blocked with 5% non-fat milk for 2</w:t>
      </w:r>
      <w:r>
        <w:rPr>
          <w:rFonts w:hint="eastAsia" w:ascii="Times New Roman" w:hAnsi="Times New Roman" w:eastAsia="宋体" w:cs="Times New Roman"/>
          <w:color w:val="000000" w:themeColor="text1"/>
          <w:sz w:val="24"/>
          <w:lang w:bidi="ar"/>
          <w14:textFill>
            <w14:solidFill>
              <w14:schemeClr w14:val="tx1"/>
            </w14:solidFill>
          </w14:textFill>
        </w:rPr>
        <w:t xml:space="preserve"> hours </w:t>
      </w:r>
      <w:r>
        <w:rPr>
          <w:rFonts w:ascii="Times New Roman" w:hAnsi="Times New Roman" w:eastAsia="宋体" w:cs="Times New Roman"/>
          <w:color w:val="000000" w:themeColor="text1"/>
          <w:sz w:val="24"/>
          <w:lang w:bidi="ar"/>
          <w14:textFill>
            <w14:solidFill>
              <w14:schemeClr w14:val="tx1"/>
            </w14:solidFill>
          </w14:textFill>
        </w:rPr>
        <w:t>at room temperature or 4°C overnight incubated with primary antibody</w:t>
      </w:r>
      <w:bookmarkEnd w:id="11"/>
      <w:r>
        <w:rPr>
          <w:rFonts w:ascii="Times New Roman" w:hAnsi="Times New Roman" w:eastAsia="宋体" w:cs="Times New Roman"/>
          <w:color w:val="000000" w:themeColor="text1"/>
          <w:sz w:val="24"/>
          <w:lang w:bidi="ar"/>
          <w14:textFill>
            <w14:solidFill>
              <w14:schemeClr w14:val="tx1"/>
            </w14:solidFill>
          </w14:textFill>
        </w:rPr>
        <w:t xml:space="preserve">, Finally, the membrane was incubated with horseradish peroxidase conjugated secondary antibody </w:t>
      </w:r>
      <w:bookmarkStart w:id="12" w:name="OLE_LINK8"/>
      <w:r>
        <w:rPr>
          <w:rFonts w:ascii="Times New Roman" w:hAnsi="Times New Roman" w:eastAsia="宋体" w:cs="Times New Roman"/>
          <w:color w:val="000000" w:themeColor="text1"/>
          <w:sz w:val="24"/>
          <w:lang w:bidi="ar"/>
          <w14:textFill>
            <w14:solidFill>
              <w14:schemeClr w14:val="tx1"/>
            </w14:solidFill>
          </w14:textFill>
        </w:rPr>
        <w:t>for 2</w:t>
      </w:r>
      <w:r>
        <w:rPr>
          <w:rFonts w:hint="eastAsia" w:ascii="Times New Roman" w:hAnsi="Times New Roman" w:eastAsia="宋体" w:cs="Times New Roman"/>
          <w:color w:val="000000" w:themeColor="text1"/>
          <w:sz w:val="24"/>
          <w:lang w:bidi="ar"/>
          <w14:textFill>
            <w14:solidFill>
              <w14:schemeClr w14:val="tx1"/>
            </w14:solidFill>
          </w14:textFill>
        </w:rPr>
        <w:t xml:space="preserve"> hours </w:t>
      </w:r>
      <w:r>
        <w:rPr>
          <w:rFonts w:ascii="Times New Roman" w:hAnsi="Times New Roman" w:eastAsia="宋体" w:cs="Times New Roman"/>
          <w:color w:val="000000" w:themeColor="text1"/>
          <w:sz w:val="24"/>
          <w:lang w:bidi="ar"/>
          <w14:textFill>
            <w14:solidFill>
              <w14:schemeClr w14:val="tx1"/>
            </w14:solidFill>
          </w14:textFill>
        </w:rPr>
        <w:t>in the antibody buffer</w:t>
      </w:r>
      <w:bookmarkEnd w:id="12"/>
      <w:r>
        <w:rPr>
          <w:rFonts w:ascii="Times New Roman" w:hAnsi="Times New Roman" w:eastAsia="宋体" w:cs="Times New Roman"/>
          <w:color w:val="000000" w:themeColor="text1"/>
          <w:sz w:val="24"/>
          <w:lang w:bidi="ar"/>
          <w14:textFill>
            <w14:solidFill>
              <w14:schemeClr w14:val="tx1"/>
            </w14:solidFill>
          </w14:textFill>
        </w:rPr>
        <w:t>.</w:t>
      </w:r>
      <w:r>
        <w:rPr>
          <w:rFonts w:ascii="Times New Roman" w:hAnsi="Times New Roman" w:eastAsia="宋体" w:cs="Times New Roman"/>
          <w:sz w:val="24"/>
          <w:lang w:bidi="ar"/>
        </w:rPr>
        <w:t xml:space="preserve"> GAPDH was used as the internal standard. Primary antibodies used in this study include anti-Atp8b1</w:t>
      </w:r>
      <w:r>
        <w:rPr>
          <w:rFonts w:hint="eastAsia" w:ascii="Times New Roman" w:hAnsi="Times New Roman" w:eastAsia="宋体" w:cs="Times New Roman"/>
          <w:sz w:val="24"/>
          <w:lang w:bidi="ar"/>
        </w:rPr>
        <w:t xml:space="preserve"> </w:t>
      </w:r>
      <w:r>
        <w:rPr>
          <w:rFonts w:ascii="Times New Roman" w:hAnsi="Times New Roman" w:eastAsia="宋体" w:cs="Times New Roman"/>
          <w:sz w:val="24"/>
          <w:lang w:bidi="ar"/>
        </w:rPr>
        <w:t>(Abcam</w:t>
      </w:r>
      <w:r>
        <w:rPr>
          <w:rFonts w:hint="eastAsia" w:ascii="Times New Roman" w:hAnsi="Times New Roman" w:eastAsia="宋体" w:cs="Times New Roman"/>
          <w:sz w:val="24"/>
          <w:lang w:bidi="ar"/>
        </w:rPr>
        <w:t xml:space="preserve">, </w:t>
      </w:r>
      <w:r>
        <w:rPr>
          <w:rFonts w:ascii="Times New Roman" w:hAnsi="Times New Roman" w:eastAsia="宋体" w:cs="Times New Roman"/>
          <w:sz w:val="24"/>
          <w:lang w:bidi="ar"/>
        </w:rPr>
        <w:t>1:400), anti-Bhlha15 (Proteintech</w:t>
      </w:r>
      <w:r>
        <w:rPr>
          <w:rFonts w:hint="eastAsia" w:ascii="Times New Roman" w:hAnsi="Times New Roman" w:eastAsia="宋体" w:cs="Times New Roman"/>
          <w:sz w:val="24"/>
          <w:lang w:bidi="ar"/>
        </w:rPr>
        <w:t xml:space="preserve">, </w:t>
      </w:r>
      <w:r>
        <w:rPr>
          <w:rFonts w:ascii="Times New Roman" w:hAnsi="Times New Roman" w:eastAsia="宋体" w:cs="Times New Roman"/>
          <w:sz w:val="24"/>
          <w:lang w:bidi="ar"/>
        </w:rPr>
        <w:t>1:400), and anti-GAPDH (Signalway Antibody</w:t>
      </w:r>
      <w:r>
        <w:rPr>
          <w:rFonts w:hint="eastAsia" w:ascii="Times New Roman" w:hAnsi="Times New Roman" w:eastAsia="宋体" w:cs="Times New Roman"/>
          <w:sz w:val="24"/>
          <w:lang w:bidi="ar"/>
        </w:rPr>
        <w:t xml:space="preserve">, </w:t>
      </w:r>
      <w:r>
        <w:rPr>
          <w:rFonts w:ascii="Times New Roman" w:hAnsi="Times New Roman" w:eastAsia="宋体" w:cs="Times New Roman"/>
          <w:sz w:val="24"/>
          <w:lang w:bidi="ar"/>
        </w:rPr>
        <w:t>1:1000). The protein abundance was evaluated by immunoblotting with at least three biological replicates.</w:t>
      </w:r>
    </w:p>
    <w:p>
      <w:pPr>
        <w:adjustRightInd w:val="0"/>
        <w:snapToGrid w:val="0"/>
        <w:spacing w:line="480" w:lineRule="auto"/>
        <w:rPr>
          <w:rFonts w:ascii="Times New Roman" w:hAnsi="Times New Roman" w:cs="Times New Roman"/>
          <w:b/>
          <w:bCs/>
          <w:sz w:val="24"/>
        </w:rPr>
      </w:pPr>
      <w:r>
        <w:rPr>
          <w:rFonts w:ascii="Times New Roman" w:hAnsi="Times New Roman" w:cs="Times New Roman"/>
          <w:b/>
          <w:bCs/>
          <w:sz w:val="24"/>
        </w:rPr>
        <w:t>Quantitative real-time PCR (q</w:t>
      </w:r>
      <w:r>
        <w:rPr>
          <w:rFonts w:hint="eastAsia" w:ascii="Times New Roman" w:hAnsi="Times New Roman" w:cs="Times New Roman"/>
          <w:b/>
          <w:bCs/>
          <w:sz w:val="24"/>
        </w:rPr>
        <w:t>RT</w:t>
      </w:r>
      <w:r>
        <w:rPr>
          <w:rFonts w:ascii="Times New Roman" w:hAnsi="Times New Roman" w:cs="Times New Roman"/>
          <w:b/>
          <w:bCs/>
          <w:sz w:val="24"/>
        </w:rPr>
        <w:t>-PCR)</w:t>
      </w:r>
    </w:p>
    <w:p>
      <w:pPr>
        <w:adjustRightInd w:val="0"/>
        <w:snapToGrid w:val="0"/>
        <w:spacing w:line="480" w:lineRule="auto"/>
        <w:rPr>
          <w:rFonts w:ascii="Times New Roman" w:hAnsi="Times New Roman" w:cs="Times New Roman"/>
          <w:sz w:val="24"/>
        </w:rPr>
      </w:pPr>
      <w:r>
        <w:rPr>
          <w:rFonts w:ascii="Times New Roman" w:hAnsi="Times New Roman" w:cs="Times New Roman"/>
          <w:sz w:val="24"/>
        </w:rPr>
        <w:t>qRT-PCR was carried out to detected mRNA expression in pancreatic tissues. Total RNA was extracted from samples using TRIzol reagent (Thermo Fisher Scientific, USA) compiled with the manufacturer’s protocol. About 3.0 μg of total RNA was converted to cDNA using the High Capacity cDNA Reverse Transcription Kit (Thermo Fisher Scientific, USA) as suggested by the manufacturer’s protocol. Relative gene mRNA expression was evaluated by quantitative RT-PCR using a QuantiFast SYBR Green PCR</w:t>
      </w:r>
      <w:r>
        <w:rPr>
          <w:rFonts w:ascii="Times New Roman" w:hAnsi="Times New Roman" w:cs="Times New Roman"/>
          <w:b/>
          <w:bCs/>
          <w:sz w:val="24"/>
        </w:rPr>
        <w:t xml:space="preserve"> </w:t>
      </w:r>
      <w:r>
        <w:rPr>
          <w:rFonts w:ascii="Times New Roman" w:hAnsi="Times New Roman" w:cs="Times New Roman"/>
          <w:sz w:val="24"/>
        </w:rPr>
        <w:t>Kit (Qiagen, German) following the manufacturer’s instructions. All assay was performed at least in triplicate. The sequences of the primers used are listed in Supplementary Table 1.</w:t>
      </w:r>
    </w:p>
    <w:p>
      <w:pPr>
        <w:adjustRightInd w:val="0"/>
        <w:snapToGrid w:val="0"/>
        <w:spacing w:line="480" w:lineRule="auto"/>
        <w:rPr>
          <w:rFonts w:ascii="Times New Roman" w:hAnsi="Times New Roman" w:cs="Times New Roman"/>
          <w:b/>
          <w:bCs/>
          <w:sz w:val="24"/>
        </w:rPr>
      </w:pPr>
      <w:bookmarkStart w:id="13" w:name="OLE_LINK1"/>
      <w:r>
        <w:rPr>
          <w:rFonts w:ascii="Times New Roman" w:hAnsi="Times New Roman" w:cs="Times New Roman"/>
          <w:b/>
          <w:bCs/>
          <w:sz w:val="24"/>
        </w:rPr>
        <w:t>Enzyme-Linked Immunosorbent Assay (ELISA)</w:t>
      </w:r>
      <w:bookmarkEnd w:id="13"/>
    </w:p>
    <w:p>
      <w:pPr>
        <w:adjustRightInd w:val="0"/>
        <w:snapToGrid w:val="0"/>
        <w:spacing w:line="480" w:lineRule="auto"/>
        <w:rPr>
          <w:rFonts w:ascii="Times New Roman" w:hAnsi="Times New Roman" w:cs="Times New Roman"/>
          <w:sz w:val="24"/>
        </w:rPr>
      </w:pPr>
      <w:r>
        <w:rPr>
          <w:rFonts w:ascii="Times New Roman" w:hAnsi="Times New Roman" w:cs="Times New Roman"/>
          <w:sz w:val="24"/>
        </w:rPr>
        <w:t>Supernatants from m</w:t>
      </w:r>
      <w:r>
        <w:rPr>
          <w:rFonts w:hint="eastAsia" w:ascii="Times New Roman" w:hAnsi="Times New Roman" w:cs="Times New Roman"/>
          <w:sz w:val="24"/>
        </w:rPr>
        <w:t>ice</w:t>
      </w:r>
      <w:r>
        <w:rPr>
          <w:rFonts w:ascii="Times New Roman" w:hAnsi="Times New Roman" w:cs="Times New Roman"/>
          <w:sz w:val="24"/>
        </w:rPr>
        <w:t xml:space="preserve"> pancreatic tissues were collected and stored at -80℃ after removal of serum by centrifugation. </w:t>
      </w:r>
      <w:r>
        <w:rPr>
          <w:rFonts w:ascii="Times New Roman" w:hAnsi="Times New Roman" w:cs="Times New Roman"/>
          <w:color w:val="000000" w:themeColor="text1"/>
          <w:sz w:val="24"/>
          <w14:textFill>
            <w14:solidFill>
              <w14:schemeClr w14:val="tx1"/>
            </w14:solidFill>
          </w14:textFill>
        </w:rPr>
        <w:t>The protein concentration of IL-1β, IL-6, and TNF-α in the serum were detected using specific ELISA kits</w:t>
      </w:r>
      <w:r>
        <w:rPr>
          <w:rFonts w:ascii="Times New Roman" w:hAnsi="Times New Roman" w:cs="Times New Roman"/>
          <w:sz w:val="24"/>
        </w:rPr>
        <w:t xml:space="preserve"> (Signalway Antibody) according to the </w:t>
      </w:r>
      <w:bookmarkStart w:id="14" w:name="OLE_LINK2"/>
      <w:r>
        <w:rPr>
          <w:rFonts w:ascii="Times New Roman" w:hAnsi="Times New Roman" w:cs="Times New Roman"/>
          <w:sz w:val="24"/>
        </w:rPr>
        <w:t>manufacturer’s instruction</w:t>
      </w:r>
      <w:bookmarkEnd w:id="14"/>
      <w:r>
        <w:rPr>
          <w:rFonts w:hint="eastAsia" w:ascii="Times New Roman" w:hAnsi="Times New Roman" w:cs="Times New Roman"/>
          <w:sz w:val="24"/>
        </w:rPr>
        <w:t>.</w:t>
      </w:r>
    </w:p>
    <w:p>
      <w:pPr>
        <w:adjustRightInd w:val="0"/>
        <w:snapToGrid w:val="0"/>
        <w:spacing w:line="480" w:lineRule="auto"/>
        <w:rPr>
          <w:rFonts w:ascii="Times New Roman" w:hAnsi="Times New Roman" w:cs="Times New Roman"/>
          <w:b/>
          <w:bCs/>
          <w:sz w:val="24"/>
        </w:rPr>
      </w:pPr>
      <w:r>
        <w:rPr>
          <w:rFonts w:ascii="Times New Roman" w:hAnsi="Times New Roman" w:cs="Times New Roman"/>
          <w:b/>
          <w:bCs/>
          <w:sz w:val="24"/>
        </w:rPr>
        <w:t>ATAC‑seq</w:t>
      </w:r>
    </w:p>
    <w:p>
      <w:pPr>
        <w:adjustRightInd w:val="0"/>
        <w:snapToGrid w:val="0"/>
        <w:spacing w:line="480" w:lineRule="auto"/>
        <w:rPr>
          <w:rFonts w:ascii="Times New Roman" w:hAnsi="Times New Roman" w:eastAsia="宋体" w:cs="Times New Roman"/>
          <w:sz w:val="24"/>
        </w:rPr>
      </w:pPr>
      <w:bookmarkStart w:id="15" w:name="_Hlk91575773"/>
      <w:r>
        <w:rPr>
          <w:rFonts w:ascii="Times New Roman" w:hAnsi="Times New Roman" w:eastAsia="宋体" w:cs="Times New Roman"/>
          <w:sz w:val="24"/>
        </w:rPr>
        <w:t xml:space="preserve">Pancreatic tissues from </w:t>
      </w:r>
      <w:r>
        <w:rPr>
          <w:rFonts w:ascii="Times New Roman" w:hAnsi="Times New Roman" w:eastAsia="宋体" w:cs="Times New Roman"/>
          <w:i/>
          <w:iCs/>
          <w:sz w:val="24"/>
        </w:rPr>
        <w:t>PRSS1</w:t>
      </w:r>
      <w:r>
        <w:rPr>
          <w:rFonts w:ascii="Times New Roman" w:hAnsi="Times New Roman" w:eastAsia="宋体" w:cs="Times New Roman"/>
          <w:i/>
          <w:iCs/>
          <w:sz w:val="24"/>
          <w:vertAlign w:val="superscript"/>
        </w:rPr>
        <w:t>Tg</w:t>
      </w:r>
      <w:r>
        <w:rPr>
          <w:rFonts w:ascii="Times New Roman" w:hAnsi="Times New Roman" w:eastAsia="宋体" w:cs="Times New Roman"/>
          <w:sz w:val="24"/>
        </w:rPr>
        <w:t xml:space="preserve"> mice treated with </w:t>
      </w:r>
      <w:r>
        <w:rPr>
          <w:rFonts w:ascii="Times New Roman" w:hAnsi="Times New Roman" w:eastAsia="宋体" w:cs="Times New Roman"/>
          <w:bCs/>
          <w:sz w:val="24"/>
        </w:rPr>
        <w:t>caerulein for 4 weeks (Group B) and 1 week (Group A)</w:t>
      </w:r>
      <w:bookmarkEnd w:id="15"/>
      <w:r>
        <w:rPr>
          <w:rFonts w:ascii="Times New Roman" w:hAnsi="Times New Roman" w:eastAsia="宋体" w:cs="Times New Roman"/>
          <w:sz w:val="24"/>
        </w:rPr>
        <w:t xml:space="preserve"> were cut into small pieces and added 10mL 200U/mL collagenase IA solution for digestion at 37°C for 25 minutes, then the cells were blown out and planted in a type I collagen-coated culture dish and the pancreatic cells were collected and counted. In accordance with the ATAC-seq protocol, approximately 50,000 cells were used for cell lysis (10mM Tris-Hcl, pH=7.4, 10mM Nacl, 3mM Mgcl</w:t>
      </w:r>
      <w:r>
        <w:rPr>
          <w:rFonts w:ascii="Times New Roman" w:hAnsi="Times New Roman" w:eastAsia="宋体" w:cs="Times New Roman"/>
          <w:sz w:val="24"/>
          <w:vertAlign w:val="subscript"/>
        </w:rPr>
        <w:t>2</w:t>
      </w:r>
      <w:r>
        <w:rPr>
          <w:rFonts w:ascii="Times New Roman" w:hAnsi="Times New Roman" w:eastAsia="宋体" w:cs="Times New Roman"/>
          <w:sz w:val="24"/>
        </w:rPr>
        <w:t>, 0.1%IGEPAL CA-630) and precipited with centrifugation at 500g for 10 minutes. The nuclei pellet was resuspended in 50 μL transposition reaction mixture which includes 25 μL Tagment DNA buffer (TruePrep DNA Library Prep Kit V2 for Illumina, vazyme), 2.5 μL Tn5 transposase (TruePrep DNA Library Prep Kit V2 for Illumina, vazyme), and 22.5μL nuclease-free water, and incubated at 37 °C for 30 min. The DNA fragments were then purified using a MinElute PCR Purification Kit (Qiagen, Cat. No. 28004) and we amplified library fragments using 1</w:t>
      </w:r>
      <w:bookmarkStart w:id="16" w:name="OLE_LINK10"/>
      <w:r>
        <w:rPr>
          <w:rFonts w:ascii="Times New Roman" w:hAnsi="Times New Roman" w:eastAsia="宋体" w:cs="Times New Roman"/>
          <w:sz w:val="24"/>
        </w:rPr>
        <w:t>×</w:t>
      </w:r>
      <w:bookmarkEnd w:id="16"/>
      <w:r>
        <w:rPr>
          <w:rFonts w:ascii="Times New Roman" w:hAnsi="Times New Roman" w:eastAsia="宋体" w:cs="Times New Roman"/>
          <w:sz w:val="24"/>
        </w:rPr>
        <w:t xml:space="preserve"> NEBnext PCR master mix and 1.25μM custom Nextera PCR primers, using the following PCR conditions: 72°C for 5</w:t>
      </w:r>
      <w:r>
        <w:rPr>
          <w:rFonts w:hint="eastAsia" w:ascii="Times New Roman" w:hAnsi="Times New Roman" w:eastAsia="宋体" w:cs="Times New Roman"/>
          <w:sz w:val="24"/>
        </w:rPr>
        <w:t xml:space="preserve"> </w:t>
      </w:r>
      <w:r>
        <w:rPr>
          <w:rFonts w:ascii="Times New Roman" w:hAnsi="Times New Roman" w:eastAsia="宋体" w:cs="Times New Roman"/>
          <w:sz w:val="24"/>
        </w:rPr>
        <w:t>min</w:t>
      </w:r>
      <w:r>
        <w:rPr>
          <w:rFonts w:hint="eastAsia" w:ascii="Times New Roman" w:hAnsi="Times New Roman" w:eastAsia="宋体" w:cs="Times New Roman"/>
          <w:sz w:val="24"/>
        </w:rPr>
        <w:t>utes</w:t>
      </w:r>
      <w:r>
        <w:rPr>
          <w:rFonts w:ascii="Times New Roman" w:hAnsi="Times New Roman" w:eastAsia="宋体" w:cs="Times New Roman"/>
          <w:sz w:val="24"/>
        </w:rPr>
        <w:t>; 98°C for 30</w:t>
      </w:r>
      <w:r>
        <w:rPr>
          <w:rFonts w:hint="eastAsia" w:ascii="Times New Roman" w:hAnsi="Times New Roman" w:eastAsia="宋体" w:cs="Times New Roman"/>
          <w:sz w:val="24"/>
        </w:rPr>
        <w:t xml:space="preserve"> </w:t>
      </w:r>
      <w:r>
        <w:rPr>
          <w:rFonts w:ascii="Times New Roman" w:hAnsi="Times New Roman" w:eastAsia="宋体" w:cs="Times New Roman"/>
          <w:sz w:val="24"/>
        </w:rPr>
        <w:t>s</w:t>
      </w:r>
      <w:r>
        <w:rPr>
          <w:rFonts w:hint="eastAsia" w:ascii="Times New Roman" w:hAnsi="Times New Roman" w:eastAsia="宋体" w:cs="Times New Roman"/>
          <w:sz w:val="24"/>
        </w:rPr>
        <w:t>econds</w:t>
      </w:r>
      <w:r>
        <w:rPr>
          <w:rFonts w:ascii="Times New Roman" w:hAnsi="Times New Roman" w:eastAsia="宋体" w:cs="Times New Roman"/>
          <w:sz w:val="24"/>
        </w:rPr>
        <w:t>; and thernocycling at 98°C for 10</w:t>
      </w:r>
      <w:r>
        <w:rPr>
          <w:rFonts w:hint="eastAsia" w:ascii="Times New Roman" w:hAnsi="Times New Roman" w:eastAsia="宋体" w:cs="Times New Roman"/>
          <w:sz w:val="24"/>
        </w:rPr>
        <w:t xml:space="preserve"> seconds</w:t>
      </w:r>
      <w:r>
        <w:rPr>
          <w:rFonts w:ascii="Times New Roman" w:hAnsi="Times New Roman" w:eastAsia="宋体" w:cs="Times New Roman"/>
          <w:sz w:val="24"/>
        </w:rPr>
        <w:t>, 63°C for 30</w:t>
      </w:r>
      <w:r>
        <w:rPr>
          <w:rFonts w:hint="eastAsia" w:ascii="Times New Roman" w:hAnsi="Times New Roman" w:eastAsia="宋体" w:cs="Times New Roman"/>
          <w:sz w:val="24"/>
        </w:rPr>
        <w:t xml:space="preserve"> seconds</w:t>
      </w:r>
      <w:r>
        <w:rPr>
          <w:rFonts w:ascii="Times New Roman" w:hAnsi="Times New Roman" w:eastAsia="宋体" w:cs="Times New Roman"/>
          <w:sz w:val="24"/>
        </w:rPr>
        <w:t xml:space="preserve"> and 72°C for 1 min</w:t>
      </w:r>
      <w:r>
        <w:rPr>
          <w:rFonts w:hint="eastAsia" w:ascii="Times New Roman" w:hAnsi="Times New Roman" w:eastAsia="宋体" w:cs="Times New Roman"/>
          <w:sz w:val="24"/>
        </w:rPr>
        <w:t>utes</w:t>
      </w:r>
      <w:r>
        <w:rPr>
          <w:rFonts w:ascii="Times New Roman" w:hAnsi="Times New Roman" w:eastAsia="宋体" w:cs="Times New Roman"/>
          <w:sz w:val="24"/>
        </w:rPr>
        <w:t xml:space="preserve">. We first amplified the full libraries for 5 cycles and then amplified 8 cycles. Amplified library was future purified with 0.6× and 1.5× volume of pure beads (KK8002, KAPA). The ATAC-seq libraries were quantified using the DNA High Sensitivity kit (Agilent) on a Bioanalyzer. The sequencing was performed on an Illumina </w:t>
      </w:r>
      <w:r>
        <w:rPr>
          <w:rFonts w:ascii="Times New Roman" w:hAnsi="Times New Roman" w:eastAsia="宋体" w:cs="Times New Roman"/>
          <w:sz w:val="24"/>
          <w:lang w:eastAsia="zh-Hans"/>
        </w:rPr>
        <w:t xml:space="preserve">NovaSeq </w:t>
      </w:r>
      <w:r>
        <w:rPr>
          <w:rFonts w:ascii="Times New Roman" w:hAnsi="Times New Roman" w:eastAsia="宋体" w:cs="Times New Roman"/>
          <w:sz w:val="24"/>
        </w:rPr>
        <w:t>6000. we used the FASTQC pipeline (Version 0.3.2) on our reads, and aligned them to the reference genome (</w:t>
      </w:r>
      <w:r>
        <w:rPr>
          <w:rFonts w:ascii="Times New Roman" w:hAnsi="Times New Roman" w:eastAsia="宋体" w:cs="Times New Roman"/>
          <w:sz w:val="24"/>
          <w:lang w:eastAsia="zh-Hans"/>
        </w:rPr>
        <w:t>mm10</w:t>
      </w:r>
      <w:r>
        <w:rPr>
          <w:rFonts w:ascii="Times New Roman" w:hAnsi="Times New Roman" w:eastAsia="宋体" w:cs="Times New Roman"/>
          <w:sz w:val="24"/>
        </w:rPr>
        <w:t>) bowtie2 (version 2.3.3.1) for ATAC-seq, retaining only reads that mapped to a unique position in the genome. (Version 0.3.2).</w:t>
      </w:r>
    </w:p>
    <w:p>
      <w:pPr>
        <w:adjustRightInd w:val="0"/>
        <w:snapToGrid w:val="0"/>
        <w:spacing w:line="480" w:lineRule="auto"/>
        <w:rPr>
          <w:rFonts w:ascii="Times New Roman" w:hAnsi="Times New Roman" w:cs="Times New Roman"/>
          <w:b/>
          <w:bCs/>
          <w:sz w:val="24"/>
        </w:rPr>
      </w:pPr>
      <w:r>
        <w:rPr>
          <w:rFonts w:ascii="Times New Roman" w:hAnsi="Times New Roman" w:cs="Times New Roman"/>
          <w:b/>
          <w:bCs/>
          <w:sz w:val="24"/>
        </w:rPr>
        <w:t xml:space="preserve">ChIP‑seq </w:t>
      </w:r>
    </w:p>
    <w:p>
      <w:pPr>
        <w:adjustRightInd w:val="0"/>
        <w:snapToGrid w:val="0"/>
        <w:spacing w:line="480" w:lineRule="auto"/>
        <w:rPr>
          <w:rFonts w:ascii="Times New Roman" w:hAnsi="Times New Roman"/>
          <w:b/>
          <w:bCs/>
          <w:color w:val="000000"/>
          <w:kern w:val="0"/>
          <w:sz w:val="40"/>
          <w:szCs w:val="40"/>
        </w:rPr>
      </w:pPr>
      <w:r>
        <w:rPr>
          <w:rFonts w:ascii="Times New Roman" w:hAnsi="Times New Roman" w:eastAsia="宋体" w:cs="Times New Roman"/>
          <w:sz w:val="24"/>
        </w:rPr>
        <w:t xml:space="preserve">Pancreatic tissues from </w:t>
      </w:r>
      <w:r>
        <w:rPr>
          <w:rFonts w:ascii="Times New Roman" w:hAnsi="Times New Roman" w:eastAsia="宋体" w:cs="Times New Roman"/>
          <w:i/>
          <w:iCs/>
          <w:sz w:val="24"/>
        </w:rPr>
        <w:t>PRSS1</w:t>
      </w:r>
      <w:r>
        <w:rPr>
          <w:rFonts w:ascii="Times New Roman" w:hAnsi="Times New Roman" w:eastAsia="宋体" w:cs="Times New Roman"/>
          <w:i/>
          <w:iCs/>
          <w:sz w:val="24"/>
          <w:vertAlign w:val="superscript"/>
        </w:rPr>
        <w:t>Tg</w:t>
      </w:r>
      <w:r>
        <w:rPr>
          <w:rFonts w:ascii="Times New Roman" w:hAnsi="Times New Roman" w:eastAsia="宋体" w:cs="Times New Roman"/>
          <w:sz w:val="24"/>
        </w:rPr>
        <w:t xml:space="preserve"> mice treated with </w:t>
      </w:r>
      <w:r>
        <w:rPr>
          <w:rFonts w:ascii="Times New Roman" w:hAnsi="Times New Roman" w:eastAsia="宋体" w:cs="Times New Roman"/>
          <w:bCs/>
          <w:sz w:val="24"/>
        </w:rPr>
        <w:t>caerulein for 4 weeks (Group B) and 1 week (Group A)</w:t>
      </w:r>
      <w:r>
        <w:rPr>
          <w:rFonts w:ascii="Times New Roman" w:hAnsi="Times New Roman" w:eastAsia="宋体" w:cs="Times New Roman"/>
          <w:sz w:val="24"/>
        </w:rPr>
        <w:t xml:space="preserve"> were cut into small pieces and added 10mL 200U/mL collagenase IA solution for digestion at 37°C for 25 minutes, then the cells were blown out and planted in a type</w:t>
      </w:r>
      <w:r>
        <w:rPr>
          <w:rFonts w:hint="eastAsia" w:ascii="Times New Roman" w:hAnsi="Times New Roman" w:eastAsia="宋体" w:cs="Times New Roman"/>
          <w:sz w:val="24"/>
        </w:rPr>
        <w:t xml:space="preserve"> </w:t>
      </w:r>
      <w:r>
        <w:rPr>
          <w:rFonts w:ascii="Times New Roman" w:hAnsi="Times New Roman" w:eastAsia="宋体" w:cs="Times New Roman"/>
          <w:sz w:val="24"/>
        </w:rPr>
        <w:t>I collagen-coated culture dish and the pancreatic cells were collected and counted. In accordance with the ATAC-seq protocol, approximately 1 × 10</w:t>
      </w:r>
      <w:r>
        <w:rPr>
          <w:rFonts w:ascii="Times New Roman" w:hAnsi="Times New Roman" w:eastAsia="宋体" w:cs="Times New Roman"/>
          <w:sz w:val="24"/>
          <w:vertAlign w:val="superscript"/>
        </w:rPr>
        <w:t xml:space="preserve">7 </w:t>
      </w:r>
      <w:r>
        <w:rPr>
          <w:rFonts w:ascii="Times New Roman" w:hAnsi="Times New Roman" w:eastAsia="宋体" w:cs="Times New Roman"/>
          <w:sz w:val="24"/>
        </w:rPr>
        <w:t>cells were cross-linked in 1% formaldehyde for 10 min</w:t>
      </w:r>
      <w:r>
        <w:rPr>
          <w:rFonts w:hint="eastAsia" w:ascii="Times New Roman" w:hAnsi="Times New Roman" w:eastAsia="宋体" w:cs="Times New Roman"/>
          <w:sz w:val="24"/>
        </w:rPr>
        <w:t>utes</w:t>
      </w:r>
      <w:r>
        <w:rPr>
          <w:rFonts w:ascii="Times New Roman" w:hAnsi="Times New Roman" w:eastAsia="宋体" w:cs="Times New Roman"/>
          <w:sz w:val="24"/>
        </w:rPr>
        <w:t xml:space="preserve"> at</w:t>
      </w:r>
      <w:r>
        <w:rPr>
          <w:rFonts w:ascii="Times New Roman" w:hAnsi="Times New Roman" w:eastAsia="宋体" w:cs="Times New Roman"/>
          <w:sz w:val="24"/>
          <w:shd w:val="clear" w:color="auto" w:fill="FFFFFF"/>
        </w:rPr>
        <w:t> </w:t>
      </w:r>
      <w:r>
        <w:rPr>
          <w:rFonts w:ascii="Times New Roman" w:hAnsi="Times New Roman" w:eastAsia="宋体" w:cs="Times New Roman"/>
          <w:sz w:val="24"/>
        </w:rPr>
        <w:t>room temperature, and the reaction was then quenched with 125 mM glycine for 5 min</w:t>
      </w:r>
      <w:r>
        <w:rPr>
          <w:rFonts w:hint="eastAsia" w:ascii="Times New Roman" w:hAnsi="Times New Roman" w:eastAsia="宋体" w:cs="Times New Roman"/>
          <w:sz w:val="24"/>
        </w:rPr>
        <w:t>utes</w:t>
      </w:r>
      <w:r>
        <w:rPr>
          <w:rFonts w:ascii="Times New Roman" w:hAnsi="Times New Roman" w:eastAsia="宋体" w:cs="Times New Roman"/>
          <w:sz w:val="24"/>
        </w:rPr>
        <w:t>. After lysis in 0.5% Igepal CA-630 in PBS supplemented with protease inhibitors for 10 min</w:t>
      </w:r>
      <w:r>
        <w:rPr>
          <w:rFonts w:hint="eastAsia" w:ascii="Times New Roman" w:hAnsi="Times New Roman" w:eastAsia="宋体" w:cs="Times New Roman"/>
          <w:sz w:val="24"/>
        </w:rPr>
        <w:t>utes</w:t>
      </w:r>
      <w:r>
        <w:rPr>
          <w:rFonts w:ascii="Times New Roman" w:hAnsi="Times New Roman" w:eastAsia="宋体" w:cs="Times New Roman"/>
          <w:sz w:val="24"/>
        </w:rPr>
        <w:t>, nuclei were pelleted at 6000</w:t>
      </w:r>
      <w:r>
        <w:rPr>
          <w:rFonts w:ascii="Times New Roman" w:hAnsi="Times New Roman" w:eastAsia="宋体" w:cs="Times New Roman"/>
          <w:sz w:val="24"/>
          <w:lang w:eastAsia="zh-Hans"/>
        </w:rPr>
        <w:t xml:space="preserve">g </w:t>
      </w:r>
      <w:r>
        <w:rPr>
          <w:rFonts w:ascii="Times New Roman" w:hAnsi="Times New Roman" w:eastAsia="宋体" w:cs="Times New Roman"/>
          <w:sz w:val="24"/>
        </w:rPr>
        <w:t>and digested with 1 μl of micrococcal nuclease for 3 min</w:t>
      </w:r>
      <w:r>
        <w:rPr>
          <w:rFonts w:hint="eastAsia" w:ascii="Times New Roman" w:hAnsi="Times New Roman" w:eastAsia="宋体" w:cs="Times New Roman"/>
          <w:sz w:val="24"/>
        </w:rPr>
        <w:t>utes</w:t>
      </w:r>
      <w:r>
        <w:rPr>
          <w:rFonts w:ascii="Times New Roman" w:hAnsi="Times New Roman" w:eastAsia="宋体" w:cs="Times New Roman"/>
          <w:sz w:val="24"/>
        </w:rPr>
        <w:t xml:space="preserve"> at 37 °C to fragment chromatin. Next, then resuspended in SDS lysis buffer (1% SDS, 10mM EDTA, 50mM Tris-HCl, pH 8.1) at a ratio of 1mL per 2×10</w:t>
      </w:r>
      <w:r>
        <w:rPr>
          <w:rFonts w:ascii="Times New Roman" w:hAnsi="Times New Roman" w:eastAsia="宋体" w:cs="Times New Roman"/>
          <w:sz w:val="24"/>
          <w:vertAlign w:val="superscript"/>
        </w:rPr>
        <w:t>7</w:t>
      </w:r>
      <w:r>
        <w:rPr>
          <w:rFonts w:ascii="Times New Roman" w:hAnsi="Times New Roman" w:eastAsia="宋体" w:cs="Times New Roman"/>
          <w:sz w:val="24"/>
        </w:rPr>
        <w:t xml:space="preserve"> cells. Pulse sonications were performed for 9 minutes at 40% amplitude with 30% on/70% off on a Brandon Digital Sonifier (Model 250) with a total of 1 mL with maximum 50% SDS Lysis Buffer solution diluted with ChIP Dilution Buffer (0.01%SDS, 1.1% Triton X-100, 1.2mM EDTA, 16.7mM Tris-HCl, pH8.1, 167mM NaCl). ChIPs were performed with antibodies for H3K27me3 (Abcam, ab192985) and RNA ploymerase II (Abcam, ab264350). Pulldowns were performed with Dynabeads Protein A/G (Abcam, ab286842). DNA quantities were measured by Qubit 3.0 (Qubit™ 1X dsDNA Assay Kits, high sensitivity (HS) and broad range, Q33230) and Bioanalyzer. ChIP-seq libraries were prepared using the Illumina TruSeq ChIP Library Preparation Kit. The sequencing was performed on an Illumina </w:t>
      </w:r>
      <w:r>
        <w:rPr>
          <w:rFonts w:ascii="Times New Roman" w:hAnsi="Times New Roman" w:eastAsia="宋体" w:cs="Times New Roman"/>
          <w:sz w:val="24"/>
          <w:lang w:eastAsia="zh-Hans"/>
        </w:rPr>
        <w:t>NovaSeq</w:t>
      </w:r>
      <w:r>
        <w:rPr>
          <w:rFonts w:ascii="Times New Roman" w:hAnsi="Times New Roman" w:eastAsia="宋体" w:cs="Times New Roman"/>
          <w:sz w:val="24"/>
        </w:rPr>
        <w:t>6000. The reads were aligned to a mouse genome (mm10) using Bowtie2 (version 2.3.3.1) with default parameters. Duplicate reads were removed using SAMtools (v 1.2), Peaks were called using MACS2. DiffBind was used to analyse differential peaks.</w:t>
      </w:r>
    </w:p>
    <w:p>
      <w:pPr>
        <w:jc w:val="left"/>
        <w:rPr>
          <w:sz w:val="24"/>
        </w:rPr>
      </w:pPr>
      <w:bookmarkStart w:id="18" w:name="_GoBack"/>
      <w:bookmarkEnd w:id="18"/>
      <w:r>
        <w:rPr>
          <w:rFonts w:ascii="等线" w:hAnsi="等线" w:eastAsia="等线" w:cs="Times New Roman"/>
          <w:szCs w:val="21"/>
        </w:rPr>
        <w:fldChar w:fldCharType="begin"/>
      </w:r>
      <w:r>
        <w:rPr>
          <w:rFonts w:hint="eastAsia" w:ascii="等线" w:hAnsi="等线" w:eastAsia="等线" w:cs="Times New Roman"/>
          <w:szCs w:val="21"/>
        </w:rPr>
        <w:instrText xml:space="preserve"> ADDIN NE.Bib</w:instrText>
      </w:r>
      <w:r>
        <w:rPr>
          <w:rFonts w:ascii="等线" w:hAnsi="等线" w:eastAsia="等线" w:cs="Times New Roman"/>
          <w:szCs w:val="21"/>
        </w:rPr>
        <w:fldChar w:fldCharType="separate"/>
      </w:r>
    </w:p>
    <w:p>
      <w:pPr>
        <w:jc w:val="center"/>
        <w:rPr>
          <w:sz w:val="24"/>
        </w:rPr>
      </w:pPr>
      <w:r>
        <w:rPr>
          <w:rFonts w:hint="eastAsia" w:ascii="宋体" w:hAnsi="宋体"/>
          <w:b/>
          <w:color w:val="000000"/>
          <w:sz w:val="24"/>
        </w:rPr>
        <w:t>References:</w:t>
      </w:r>
    </w:p>
    <w:p>
      <w:pPr>
        <w:ind w:left="480" w:hanging="480" w:hangingChars="200"/>
        <w:rPr>
          <w:rFonts w:ascii="Times New Roman" w:hAnsi="Times New Roman" w:eastAsia="Times New Roman"/>
          <w:color w:val="000000"/>
          <w:sz w:val="24"/>
        </w:rPr>
      </w:pPr>
      <w:r>
        <w:rPr>
          <w:rFonts w:ascii="Times New Roman" w:hAnsi="Times New Roman" w:eastAsia="Times New Roman"/>
          <w:color w:val="000000"/>
          <w:sz w:val="24"/>
        </w:rPr>
        <w:t>1</w:t>
      </w:r>
      <w:bookmarkStart w:id="17" w:name="_neb950C0228_E2F5_4B75_84D8_D2B5AF866F7A"/>
      <w:r>
        <w:rPr>
          <w:rFonts w:hint="eastAsia" w:ascii="Times New Roman" w:hAnsi="Times New Roman" w:eastAsia="宋体"/>
          <w:color w:val="000000"/>
          <w:sz w:val="24"/>
        </w:rPr>
        <w:t xml:space="preserve">   </w:t>
      </w:r>
      <w:r>
        <w:rPr>
          <w:rFonts w:ascii="Times New Roman" w:hAnsi="Times New Roman" w:eastAsia="Times New Roman"/>
          <w:color w:val="000000"/>
          <w:sz w:val="24"/>
        </w:rPr>
        <w:t xml:space="preserve">Guo P, Wiersch J, Xiao X, Gittes G. Simplified Purification of AAV and Delivery to the Pancreas by Intraductal Administration. </w:t>
      </w:r>
      <w:r>
        <w:rPr>
          <w:rFonts w:ascii="Times New Roman" w:hAnsi="Times New Roman" w:eastAsia="Times New Roman"/>
          <w:i/>
          <w:color w:val="000000"/>
          <w:sz w:val="24"/>
        </w:rPr>
        <w:t>Methods Mol Biol</w:t>
      </w:r>
      <w:r>
        <w:rPr>
          <w:rFonts w:ascii="Times New Roman" w:hAnsi="Times New Roman" w:eastAsia="Times New Roman"/>
          <w:color w:val="000000"/>
          <w:sz w:val="24"/>
        </w:rPr>
        <w:t xml:space="preserve"> 2019;1950</w:t>
      </w:r>
      <w:r>
        <w:rPr>
          <w:rFonts w:hint="eastAsia" w:ascii="宋体" w:hAnsi="宋体"/>
          <w:color w:val="000000"/>
          <w:sz w:val="24"/>
        </w:rPr>
        <w:t>（</w:t>
      </w:r>
      <w:r>
        <w:rPr>
          <w:rFonts w:ascii="Times New Roman" w:hAnsi="Times New Roman" w:eastAsia="Times New Roman"/>
          <w:color w:val="000000"/>
          <w:sz w:val="24"/>
        </w:rPr>
        <w:t>:373-387.</w:t>
      </w:r>
      <w:bookmarkEnd w:id="17"/>
    </w:p>
    <w:p>
      <w:pPr>
        <w:ind w:left="0" w:firstLine="0" w:firstLineChars="0"/>
        <w:rPr>
          <w:rFonts w:ascii="Times New Roman" w:hAnsi="Times New Roman" w:cs="Times New Roman"/>
          <w:sz w:val="24"/>
        </w:rPr>
      </w:pPr>
    </w:p>
    <w:p>
      <w:pPr>
        <w:ind w:left="480" w:hanging="480" w:hangingChars="200"/>
        <w:rPr>
          <w:rFonts w:ascii="Times New Roman" w:hAnsi="Times New Roman" w:eastAsia="Times New Roman"/>
          <w:color w:val="000000"/>
          <w:sz w:val="24"/>
        </w:rPr>
      </w:pPr>
    </w:p>
    <w:p>
      <w:pPr>
        <w:ind w:left="480" w:hanging="480" w:hangingChars="200"/>
        <w:rPr>
          <w:rFonts w:ascii="Times New Roman" w:hAnsi="Times New Roman" w:eastAsia="Times New Roman"/>
          <w:color w:val="000000"/>
          <w:sz w:val="24"/>
        </w:rPr>
      </w:pPr>
    </w:p>
    <w:p>
      <w:pPr>
        <w:rPr>
          <w:rFonts w:ascii="Times New Roman" w:hAnsi="Times New Roman" w:eastAsia="Times New Roman"/>
          <w:color w:val="000000"/>
          <w:sz w:val="24"/>
        </w:rPr>
      </w:pPr>
    </w:p>
    <w:p>
      <w:pPr>
        <w:adjustRightInd w:val="0"/>
        <w:snapToGrid w:val="0"/>
        <w:spacing w:line="480" w:lineRule="auto"/>
        <w:ind w:left="420" w:hanging="420" w:hangingChars="200"/>
        <w:jc w:val="left"/>
        <w:rPr>
          <w:rFonts w:ascii="Times New Roman" w:hAnsi="Times New Roman" w:cs="Times New Roman"/>
          <w:sz w:val="24"/>
        </w:rPr>
      </w:pPr>
      <w:r>
        <w:rPr>
          <w:rFonts w:ascii="等线" w:hAnsi="等线" w:eastAsia="等线" w:cs="Times New Roman"/>
          <w:szCs w:val="21"/>
        </w:rPr>
        <w:fldChar w:fldCharType="end"/>
      </w:r>
    </w:p>
    <w:p>
      <w:pPr>
        <w:rPr>
          <w:rFonts w:ascii="等线" w:hAnsi="等线" w:eastAsia="等线" w:cs="Times New Roman"/>
          <w:szCs w:val="21"/>
        </w:rPr>
      </w:pPr>
    </w:p>
    <w:sectPr>
      <w:footerReference r:id="rId3"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等线">
    <w:panose1 w:val="02010600030101010101"/>
    <w:charset w:val="86"/>
    <w:family w:val="auto"/>
    <w:pitch w:val="default"/>
    <w:sig w:usb0="A00002BF" w:usb1="38CF7CFA" w:usb2="00000016" w:usb3="00000000" w:csb0="0004000F" w:csb1="00000000"/>
  </w:font>
  <w:font w:name="微软雅黑">
    <w:panose1 w:val="020B0503020204020204"/>
    <w:charset w:val="86"/>
    <w:family w:val="auto"/>
    <w:pitch w:val="default"/>
    <w:sig w:usb0="80000287" w:usb1="2ACF3C50"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132260839"/>
    </w:sdtPr>
    <w:sdtContent>
      <w:p>
        <w:pPr>
          <w:pStyle w:val="3"/>
          <w:jc w:val="center"/>
        </w:pPr>
        <w:r>
          <w:fldChar w:fldCharType="begin"/>
        </w:r>
        <w:r>
          <w:instrText xml:space="preserve">PAGE   \* MERGEFORMAT</w:instrText>
        </w:r>
        <w:r>
          <w:fldChar w:fldCharType="separate"/>
        </w:r>
        <w:r>
          <w:rPr>
            <w:lang w:val="zh-CN"/>
          </w:rPr>
          <w:t>2</w:t>
        </w:r>
        <w:r>
          <w:fldChar w:fldCharType="end"/>
        </w:r>
      </w:p>
    </w:sdtContent>
  </w:sdt>
  <w:p>
    <w:pPr>
      <w:pStyle w:val="3"/>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bordersDoNotSurroundHeader w:val="1"/>
  <w:bordersDoNotSurroundFooter w:val="1"/>
  <w:trackRevisions w:val="1"/>
  <w:documentProtection w:enforcement="0"/>
  <w:defaultTabStop w:val="420"/>
  <w:drawingGridVerticalSpacing w:val="156"/>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2I2YWJjNmRiMzg4YzkyMzczYTFmZDg3NDU0YzM4MjYifQ=="/>
    <w:docVar w:name="NE.Ref{066C5AB2-A571-45D8-90C8-16F8F42D53F5}" w:val=" ADDIN NE.Ref.{066C5AB2-A571-45D8-90C8-16F8F42D53F5}&lt;Citation&gt;&lt;Group&gt;&lt;References&gt;&lt;Item&gt;&lt;ID&gt;1110&lt;/ID&gt;&lt;UID&gt;{950C0228-E2F5-4B75-84D8-D2B5AF866F7A}&lt;/UID&gt;&lt;Title&gt;Simplified Purification of AAV and Delivery to the Pancreas by Intraductal Administration&lt;/Title&gt;&lt;Template&gt;Journal Article&lt;/Template&gt;&lt;Star&gt;0&lt;/Star&gt;&lt;Tag&gt;0&lt;/Tag&gt;&lt;Author&gt;Guo, P; Wiersch, J; Xiao, X; Gittes, G&lt;/Author&gt;&lt;Year&gt;2019&lt;/Year&gt;&lt;Details&gt;&lt;_accession_num&gt;30783986&lt;/_accession_num&gt;&lt;_author_adr&gt;University of Texas Health Science Center at Houston, Houston, TX, USA. Ping.Guo@uth.tmc.edu.; University of Texas Health Science Center at San Antonio, San Antonio, TX, USA.; University of Pittsburgh/Children&amp;apos;s Hospital of Pittsburgh of UPMC, Pittsburgh, PA, USA.; University of Pittsburgh/Children&amp;apos;s Hospital of Pittsburgh of UPMC, Pittsburgh, PA, USA.&lt;/_author_adr&gt;&lt;_date_display&gt;2019&lt;/_date_display&gt;&lt;_date&gt;2019-01-20&lt;/_date&gt;&lt;_doi&gt;10.1007/978-1-4939-9139-6_22&lt;/_doi&gt;&lt;_isbn&gt;1940-6029 (Electronic); 1064-3745 (Linking)&lt;/_isbn&gt;&lt;_journal&gt;Methods Mol Biol&lt;/_journal&gt;&lt;_keywords&gt;*AAV viral purification; *Adeno-associated virus (AAV); *PEG aqua partitioning; *Pancreatic cell lineage tracing; *Pancreatic ductal infusion&lt;/_keywords&gt;&lt;_language&gt;eng&lt;/_language&gt;&lt;_pages&gt;373-387&lt;/_pages&gt;&lt;_subject_headings&gt;Dependovirus/*genetics; Gene Expression; *Gene Transfer Techniques; Genes, Reporter; Genetic Vectors/administration &amp;amp; dosage/*genetics/*isolation &amp;amp; purification; Humans; Injections; Pancreas/*metabolism; Pancreatic Ducts/metabolism; Transfection&lt;/_subject_headings&gt;&lt;_tertiary_title&gt;Methods in molecular biology (Clifton, N.J.)&lt;/_tertiary_title&gt;&lt;_type_work&gt;Journal Article&lt;/_type_work&gt;&lt;_url&gt;http://www.ncbi.nlm.nih.gov/entrez/query.fcgi?cmd=Retrieve&amp;amp;db=pubmed&amp;amp;dopt=Abstract&amp;amp;list_uids=30783986&amp;amp;query_hl=1&lt;/_url&gt;&lt;_volume&gt;1950&lt;/_volume&gt;&lt;_created&gt;64183169&lt;/_created&gt;&lt;_modified&gt;64183169&lt;/_modified&gt;&lt;_db_updated&gt;PubMed&lt;/_db_updated&gt;&lt;/Details&gt;&lt;Extra&gt;&lt;DBUID&gt;{F96A950B-833F-4880-A151-76DA2D6A2879}&lt;/DBUID&gt;&lt;/Extra&gt;&lt;/Item&gt;&lt;/References&gt;&lt;/Group&gt;&lt;/Citation&gt;_x000a_"/>
    <w:docVar w:name="ne_docsoft" w:val="MSWord"/>
    <w:docVar w:name="ne_docversion" w:val="NoteExpress 2.0"/>
    <w:docVar w:name="ne_stylename" w:val="Gut作者全名"/>
  </w:docVars>
  <w:rsids>
    <w:rsidRoot w:val="00172A27"/>
    <w:rsid w:val="00000213"/>
    <w:rsid w:val="0001115D"/>
    <w:rsid w:val="000273BD"/>
    <w:rsid w:val="00042C08"/>
    <w:rsid w:val="000552BB"/>
    <w:rsid w:val="000603A7"/>
    <w:rsid w:val="000745CF"/>
    <w:rsid w:val="000B119B"/>
    <w:rsid w:val="000B4D7A"/>
    <w:rsid w:val="000C7114"/>
    <w:rsid w:val="000E44AC"/>
    <w:rsid w:val="00102450"/>
    <w:rsid w:val="00111C6B"/>
    <w:rsid w:val="00133733"/>
    <w:rsid w:val="0014050D"/>
    <w:rsid w:val="00150895"/>
    <w:rsid w:val="0015158E"/>
    <w:rsid w:val="001578FC"/>
    <w:rsid w:val="001719B5"/>
    <w:rsid w:val="00172A27"/>
    <w:rsid w:val="001A0DF3"/>
    <w:rsid w:val="001B74E6"/>
    <w:rsid w:val="001F6915"/>
    <w:rsid w:val="0022349C"/>
    <w:rsid w:val="00224DF3"/>
    <w:rsid w:val="00273F10"/>
    <w:rsid w:val="002901A8"/>
    <w:rsid w:val="002E68F1"/>
    <w:rsid w:val="002F1ABC"/>
    <w:rsid w:val="00332A3B"/>
    <w:rsid w:val="003449C1"/>
    <w:rsid w:val="00350C2D"/>
    <w:rsid w:val="003522D5"/>
    <w:rsid w:val="0035268B"/>
    <w:rsid w:val="00353E93"/>
    <w:rsid w:val="0036632E"/>
    <w:rsid w:val="00382EBE"/>
    <w:rsid w:val="00394611"/>
    <w:rsid w:val="00394B53"/>
    <w:rsid w:val="003E5B6F"/>
    <w:rsid w:val="004324C1"/>
    <w:rsid w:val="00471958"/>
    <w:rsid w:val="00474391"/>
    <w:rsid w:val="00486D62"/>
    <w:rsid w:val="004A789B"/>
    <w:rsid w:val="004C15E4"/>
    <w:rsid w:val="004E64D1"/>
    <w:rsid w:val="005011C0"/>
    <w:rsid w:val="00502E54"/>
    <w:rsid w:val="00517144"/>
    <w:rsid w:val="00522440"/>
    <w:rsid w:val="005271C9"/>
    <w:rsid w:val="00537152"/>
    <w:rsid w:val="005604CF"/>
    <w:rsid w:val="00563E17"/>
    <w:rsid w:val="00565EDD"/>
    <w:rsid w:val="0057290E"/>
    <w:rsid w:val="0058221C"/>
    <w:rsid w:val="00586D99"/>
    <w:rsid w:val="00597EC8"/>
    <w:rsid w:val="005A17F8"/>
    <w:rsid w:val="005B329D"/>
    <w:rsid w:val="005D06BA"/>
    <w:rsid w:val="005E11AF"/>
    <w:rsid w:val="005E5D18"/>
    <w:rsid w:val="00626D5B"/>
    <w:rsid w:val="00647260"/>
    <w:rsid w:val="006827F9"/>
    <w:rsid w:val="006A37E4"/>
    <w:rsid w:val="006B2315"/>
    <w:rsid w:val="006B6D62"/>
    <w:rsid w:val="006C2427"/>
    <w:rsid w:val="006E6031"/>
    <w:rsid w:val="006F7F69"/>
    <w:rsid w:val="00736AD8"/>
    <w:rsid w:val="00754D68"/>
    <w:rsid w:val="00756C50"/>
    <w:rsid w:val="00791E17"/>
    <w:rsid w:val="00792E3E"/>
    <w:rsid w:val="00797452"/>
    <w:rsid w:val="007A337D"/>
    <w:rsid w:val="007B40A4"/>
    <w:rsid w:val="007C4C86"/>
    <w:rsid w:val="007D6B16"/>
    <w:rsid w:val="007E4E8A"/>
    <w:rsid w:val="007E72F0"/>
    <w:rsid w:val="00811C71"/>
    <w:rsid w:val="00814E45"/>
    <w:rsid w:val="00825816"/>
    <w:rsid w:val="00825E30"/>
    <w:rsid w:val="00842EE0"/>
    <w:rsid w:val="00855A38"/>
    <w:rsid w:val="008743F8"/>
    <w:rsid w:val="0088100B"/>
    <w:rsid w:val="008828B1"/>
    <w:rsid w:val="008979B4"/>
    <w:rsid w:val="008A05B6"/>
    <w:rsid w:val="008A6530"/>
    <w:rsid w:val="008C1025"/>
    <w:rsid w:val="008E7AA9"/>
    <w:rsid w:val="009026E4"/>
    <w:rsid w:val="00917CA4"/>
    <w:rsid w:val="00965D24"/>
    <w:rsid w:val="00972401"/>
    <w:rsid w:val="00974050"/>
    <w:rsid w:val="00974341"/>
    <w:rsid w:val="009A2B19"/>
    <w:rsid w:val="009A2E89"/>
    <w:rsid w:val="009A4361"/>
    <w:rsid w:val="009C0CBB"/>
    <w:rsid w:val="009E1186"/>
    <w:rsid w:val="009F2D52"/>
    <w:rsid w:val="009F39D3"/>
    <w:rsid w:val="00A07AB8"/>
    <w:rsid w:val="00A46584"/>
    <w:rsid w:val="00A64DEC"/>
    <w:rsid w:val="00A66E71"/>
    <w:rsid w:val="00A92753"/>
    <w:rsid w:val="00AB1227"/>
    <w:rsid w:val="00AC4829"/>
    <w:rsid w:val="00AC7F95"/>
    <w:rsid w:val="00AE1A0F"/>
    <w:rsid w:val="00AE23CB"/>
    <w:rsid w:val="00AF5D75"/>
    <w:rsid w:val="00B00B5B"/>
    <w:rsid w:val="00B03C42"/>
    <w:rsid w:val="00B051C1"/>
    <w:rsid w:val="00B629A9"/>
    <w:rsid w:val="00B64CF6"/>
    <w:rsid w:val="00BA358A"/>
    <w:rsid w:val="00BA3591"/>
    <w:rsid w:val="00BD5B5D"/>
    <w:rsid w:val="00C14901"/>
    <w:rsid w:val="00C267D1"/>
    <w:rsid w:val="00C53C98"/>
    <w:rsid w:val="00C566FB"/>
    <w:rsid w:val="00C82A23"/>
    <w:rsid w:val="00C9507A"/>
    <w:rsid w:val="00CE54D6"/>
    <w:rsid w:val="00CF28DD"/>
    <w:rsid w:val="00CF415D"/>
    <w:rsid w:val="00D06BF8"/>
    <w:rsid w:val="00D21CDF"/>
    <w:rsid w:val="00D37FFE"/>
    <w:rsid w:val="00D44ED9"/>
    <w:rsid w:val="00D46519"/>
    <w:rsid w:val="00D50107"/>
    <w:rsid w:val="00D723BA"/>
    <w:rsid w:val="00DA402F"/>
    <w:rsid w:val="00DA5339"/>
    <w:rsid w:val="00DB51CE"/>
    <w:rsid w:val="00DB55EE"/>
    <w:rsid w:val="00DD0F15"/>
    <w:rsid w:val="00DD3EC1"/>
    <w:rsid w:val="00DF5374"/>
    <w:rsid w:val="00DF5A86"/>
    <w:rsid w:val="00DF6175"/>
    <w:rsid w:val="00E2078A"/>
    <w:rsid w:val="00E51A63"/>
    <w:rsid w:val="00E5276E"/>
    <w:rsid w:val="00E610BB"/>
    <w:rsid w:val="00E924FC"/>
    <w:rsid w:val="00EA2403"/>
    <w:rsid w:val="00EA313D"/>
    <w:rsid w:val="00EB0351"/>
    <w:rsid w:val="00EB0735"/>
    <w:rsid w:val="00EB684B"/>
    <w:rsid w:val="00EC07A6"/>
    <w:rsid w:val="00EC51CF"/>
    <w:rsid w:val="00ED5D5F"/>
    <w:rsid w:val="00EE0609"/>
    <w:rsid w:val="00F10F48"/>
    <w:rsid w:val="00F1537A"/>
    <w:rsid w:val="00F2204C"/>
    <w:rsid w:val="00F27824"/>
    <w:rsid w:val="00F70997"/>
    <w:rsid w:val="00F7479B"/>
    <w:rsid w:val="00F9342C"/>
    <w:rsid w:val="00FC2F9E"/>
    <w:rsid w:val="00FF6363"/>
    <w:rsid w:val="02173481"/>
    <w:rsid w:val="0510089C"/>
    <w:rsid w:val="0842145D"/>
    <w:rsid w:val="0A8866FF"/>
    <w:rsid w:val="0B431F20"/>
    <w:rsid w:val="0B7660C6"/>
    <w:rsid w:val="0C2E14AB"/>
    <w:rsid w:val="0C62042F"/>
    <w:rsid w:val="0D36669F"/>
    <w:rsid w:val="0D9663D0"/>
    <w:rsid w:val="10D74EAC"/>
    <w:rsid w:val="1444573C"/>
    <w:rsid w:val="1A974E3A"/>
    <w:rsid w:val="1BEA41E5"/>
    <w:rsid w:val="1C2754DF"/>
    <w:rsid w:val="1D5502F7"/>
    <w:rsid w:val="22312E16"/>
    <w:rsid w:val="24AC6BD0"/>
    <w:rsid w:val="255B5CB3"/>
    <w:rsid w:val="270B2B43"/>
    <w:rsid w:val="2B3611A4"/>
    <w:rsid w:val="2B966C96"/>
    <w:rsid w:val="2FE87AE4"/>
    <w:rsid w:val="30B12CA8"/>
    <w:rsid w:val="30E81366"/>
    <w:rsid w:val="311C6CEF"/>
    <w:rsid w:val="3BB212DF"/>
    <w:rsid w:val="3C12216A"/>
    <w:rsid w:val="3C6E6CF3"/>
    <w:rsid w:val="3C733465"/>
    <w:rsid w:val="3DE528C6"/>
    <w:rsid w:val="3E480AB2"/>
    <w:rsid w:val="439845F1"/>
    <w:rsid w:val="45B0464C"/>
    <w:rsid w:val="46C35F24"/>
    <w:rsid w:val="472861AA"/>
    <w:rsid w:val="47D34032"/>
    <w:rsid w:val="49C86F93"/>
    <w:rsid w:val="4BFC604B"/>
    <w:rsid w:val="4C1D3997"/>
    <w:rsid w:val="4D456C3F"/>
    <w:rsid w:val="4D5C6F07"/>
    <w:rsid w:val="4E5667D7"/>
    <w:rsid w:val="4EC35124"/>
    <w:rsid w:val="4F396EAC"/>
    <w:rsid w:val="50F40817"/>
    <w:rsid w:val="5A9B2DCD"/>
    <w:rsid w:val="5AD57BC1"/>
    <w:rsid w:val="5B1D5D70"/>
    <w:rsid w:val="5BD91062"/>
    <w:rsid w:val="5E773DE8"/>
    <w:rsid w:val="5EC16571"/>
    <w:rsid w:val="5F0A6DA3"/>
    <w:rsid w:val="61033E9A"/>
    <w:rsid w:val="625E13B5"/>
    <w:rsid w:val="63E23CD1"/>
    <w:rsid w:val="68560AAE"/>
    <w:rsid w:val="68F67BF1"/>
    <w:rsid w:val="695F74C2"/>
    <w:rsid w:val="6B543FAE"/>
    <w:rsid w:val="6B5B317A"/>
    <w:rsid w:val="6D6E1FB3"/>
    <w:rsid w:val="7215552B"/>
    <w:rsid w:val="73D5008B"/>
    <w:rsid w:val="746657BA"/>
    <w:rsid w:val="7B755A92"/>
    <w:rsid w:val="7E164C94"/>
    <w:rsid w:val="7ED839C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qFormat="1"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qFormat="1"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7">
    <w:name w:val="Default Paragraph Font"/>
    <w:semiHidden/>
    <w:unhideWhenUsed/>
    <w:qFormat/>
    <w:uiPriority w:val="1"/>
  </w:style>
  <w:style w:type="table" w:default="1" w:styleId="6">
    <w:name w:val="Normal Table"/>
    <w:semiHidden/>
    <w:unhideWhenUsed/>
    <w:qFormat/>
    <w:uiPriority w:val="99"/>
    <w:tblPr>
      <w:tblCellMar>
        <w:top w:w="0" w:type="dxa"/>
        <w:left w:w="108" w:type="dxa"/>
        <w:bottom w:w="0" w:type="dxa"/>
        <w:right w:w="108" w:type="dxa"/>
      </w:tblCellMar>
    </w:tblPr>
  </w:style>
  <w:style w:type="paragraph" w:styleId="2">
    <w:name w:val="annotation text"/>
    <w:basedOn w:val="1"/>
    <w:link w:val="12"/>
    <w:qFormat/>
    <w:uiPriority w:val="0"/>
    <w:pPr>
      <w:jc w:val="left"/>
    </w:pPr>
  </w:style>
  <w:style w:type="paragraph" w:styleId="3">
    <w:name w:val="footer"/>
    <w:basedOn w:val="1"/>
    <w:link w:val="10"/>
    <w:qFormat/>
    <w:uiPriority w:val="99"/>
    <w:pPr>
      <w:tabs>
        <w:tab w:val="center" w:pos="4153"/>
        <w:tab w:val="right" w:pos="8306"/>
      </w:tabs>
      <w:snapToGrid w:val="0"/>
      <w:jc w:val="left"/>
    </w:pPr>
    <w:rPr>
      <w:sz w:val="18"/>
      <w:szCs w:val="18"/>
    </w:rPr>
  </w:style>
  <w:style w:type="paragraph" w:styleId="4">
    <w:name w:val="header"/>
    <w:basedOn w:val="1"/>
    <w:link w:val="9"/>
    <w:qFormat/>
    <w:uiPriority w:val="0"/>
    <w:pPr>
      <w:pBdr>
        <w:bottom w:val="single" w:color="auto" w:sz="6" w:space="1"/>
      </w:pBdr>
      <w:tabs>
        <w:tab w:val="center" w:pos="4153"/>
        <w:tab w:val="right" w:pos="8306"/>
      </w:tabs>
      <w:snapToGrid w:val="0"/>
      <w:jc w:val="center"/>
    </w:pPr>
    <w:rPr>
      <w:sz w:val="18"/>
      <w:szCs w:val="18"/>
    </w:rPr>
  </w:style>
  <w:style w:type="paragraph" w:styleId="5">
    <w:name w:val="annotation subject"/>
    <w:basedOn w:val="2"/>
    <w:next w:val="2"/>
    <w:link w:val="13"/>
    <w:qFormat/>
    <w:uiPriority w:val="0"/>
    <w:rPr>
      <w:b/>
      <w:bCs/>
    </w:rPr>
  </w:style>
  <w:style w:type="character" w:styleId="8">
    <w:name w:val="annotation reference"/>
    <w:basedOn w:val="7"/>
    <w:qFormat/>
    <w:uiPriority w:val="0"/>
    <w:rPr>
      <w:sz w:val="21"/>
      <w:szCs w:val="21"/>
    </w:rPr>
  </w:style>
  <w:style w:type="character" w:customStyle="1" w:styleId="9">
    <w:name w:val="页眉 字符"/>
    <w:basedOn w:val="7"/>
    <w:link w:val="4"/>
    <w:qFormat/>
    <w:uiPriority w:val="0"/>
    <w:rPr>
      <w:rFonts w:asciiTheme="minorHAnsi" w:hAnsiTheme="minorHAnsi" w:eastAsiaTheme="minorEastAsia" w:cstheme="minorBidi"/>
      <w:kern w:val="2"/>
      <w:sz w:val="18"/>
      <w:szCs w:val="18"/>
    </w:rPr>
  </w:style>
  <w:style w:type="character" w:customStyle="1" w:styleId="10">
    <w:name w:val="页脚 字符"/>
    <w:basedOn w:val="7"/>
    <w:link w:val="3"/>
    <w:qFormat/>
    <w:uiPriority w:val="99"/>
    <w:rPr>
      <w:rFonts w:asciiTheme="minorHAnsi" w:hAnsiTheme="minorHAnsi" w:eastAsiaTheme="minorEastAsia" w:cstheme="minorBidi"/>
      <w:kern w:val="2"/>
      <w:sz w:val="18"/>
      <w:szCs w:val="18"/>
    </w:rPr>
  </w:style>
  <w:style w:type="paragraph" w:customStyle="1" w:styleId="11">
    <w:name w:val="修订1"/>
    <w:hidden/>
    <w:semiHidden/>
    <w:qFormat/>
    <w:uiPriority w:val="99"/>
    <w:rPr>
      <w:rFonts w:asciiTheme="minorHAnsi" w:hAnsiTheme="minorHAnsi" w:eastAsiaTheme="minorEastAsia" w:cstheme="minorBidi"/>
      <w:kern w:val="2"/>
      <w:sz w:val="21"/>
      <w:szCs w:val="24"/>
      <w:lang w:val="en-US" w:eastAsia="zh-CN" w:bidi="ar-SA"/>
    </w:rPr>
  </w:style>
  <w:style w:type="character" w:customStyle="1" w:styleId="12">
    <w:name w:val="批注文字 字符"/>
    <w:basedOn w:val="7"/>
    <w:link w:val="2"/>
    <w:qFormat/>
    <w:uiPriority w:val="0"/>
    <w:rPr>
      <w:rFonts w:asciiTheme="minorHAnsi" w:hAnsiTheme="minorHAnsi" w:eastAsiaTheme="minorEastAsia" w:cstheme="minorBidi"/>
      <w:kern w:val="2"/>
      <w:sz w:val="21"/>
      <w:szCs w:val="24"/>
    </w:rPr>
  </w:style>
  <w:style w:type="character" w:customStyle="1" w:styleId="13">
    <w:name w:val="批注主题 字符"/>
    <w:basedOn w:val="12"/>
    <w:link w:val="5"/>
    <w:qFormat/>
    <w:uiPriority w:val="0"/>
    <w:rPr>
      <w:rFonts w:asciiTheme="minorHAnsi" w:hAnsiTheme="minorHAnsi" w:eastAsiaTheme="minorEastAsia" w:cstheme="minorBidi"/>
      <w:b/>
      <w:bCs/>
      <w:kern w:val="2"/>
      <w:sz w:val="21"/>
      <w:szCs w:val="24"/>
    </w:rPr>
  </w:style>
  <w:style w:type="paragraph" w:customStyle="1" w:styleId="14">
    <w:name w:val="修订2"/>
    <w:hidden/>
    <w:semiHidden/>
    <w:qFormat/>
    <w:uiPriority w:val="99"/>
    <w:rPr>
      <w:rFonts w:asciiTheme="minorHAnsi" w:hAnsiTheme="minorHAnsi" w:eastAsiaTheme="minorEastAsia" w:cstheme="minorBidi"/>
      <w:kern w:val="2"/>
      <w:sz w:val="21"/>
      <w:szCs w:val="24"/>
      <w:lang w:val="en-US" w:eastAsia="zh-CN" w:bidi="ar-SA"/>
    </w:rPr>
  </w:style>
  <w:style w:type="paragraph" w:customStyle="1" w:styleId="15">
    <w:name w:val="Revision"/>
    <w:hidden/>
    <w:semiHidden/>
    <w:qFormat/>
    <w:uiPriority w:val="99"/>
    <w:rPr>
      <w:rFonts w:asciiTheme="minorHAnsi" w:hAnsiTheme="minorHAnsi" w:eastAsiaTheme="minorEastAsia" w:cstheme="minorBidi"/>
      <w:kern w:val="2"/>
      <w:sz w:val="21"/>
      <w:szCs w:val="24"/>
      <w:lang w:val="en-US" w:eastAsia="zh-CN" w:bidi="ar-SA"/>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B9C31B6-CCD0-46F2-AC99-5486E872C993}">
  <ds:schemaRefs/>
</ds:datastoreItem>
</file>

<file path=docProps/app.xml><?xml version="1.0" encoding="utf-8"?>
<Properties xmlns="http://schemas.openxmlformats.org/officeDocument/2006/extended-properties" xmlns:vt="http://schemas.openxmlformats.org/officeDocument/2006/docPropsVTypes">
  <Template>Normal</Template>
  <Pages>6</Pages>
  <Words>1442</Words>
  <Characters>8246</Characters>
  <Lines>78</Lines>
  <Paragraphs>22</Paragraphs>
  <TotalTime>4</TotalTime>
  <ScaleCrop>false</ScaleCrop>
  <LinksUpToDate>false</LinksUpToDate>
  <CharactersWithSpaces>9670</CharactersWithSpaces>
  <Application>WPS Office_11.1.0.11636_F1E327BC-269C-435d-A152-05C5408002CA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2021-06-09T13:36:00Z</dcterms:created>
  <dc:creator>ywj123</dc:creator>
  <cp:lastModifiedBy>Leda</cp:lastModifiedBy>
  <dcterms:modified xsi:type="dcterms:W3CDTF">2022-05-14T10:38:15Z</dcterms:modified>
  <cp:revision>157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2052-11.1.0.11636</vt:lpwstr>
  </property>
  <property fmtid="{D5CDD505-2E9C-101B-9397-08002B2CF9AE}" pid="3" name="ICV">
    <vt:lpwstr>1713220685C4449985F1BF49B30E5694</vt:lpwstr>
  </property>
</Properties>
</file>