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0CF02" w14:textId="77777777" w:rsidR="0032123F" w:rsidRDefault="0032123F" w:rsidP="0032123F">
      <w:pPr>
        <w:spacing w:line="480" w:lineRule="auto"/>
        <w:jc w:val="both"/>
      </w:pPr>
      <w:r w:rsidRPr="00823562">
        <w:rPr>
          <w:b/>
          <w:bCs/>
        </w:rPr>
        <w:t xml:space="preserve">Supplementary Figure </w:t>
      </w:r>
      <w:r>
        <w:rPr>
          <w:b/>
          <w:bCs/>
        </w:rPr>
        <w:t>1</w:t>
      </w:r>
      <w:r w:rsidRPr="00823562">
        <w:rPr>
          <w:b/>
          <w:bCs/>
        </w:rPr>
        <w:t xml:space="preserve">. </w:t>
      </w:r>
      <w:r>
        <w:t xml:space="preserve">Calibration curves of the planar optodes used for the measurements of the chemical microenvironment in the cut coral fragments. The planar optodes were calibrated in aquaria with a constant seawater temperature of 27 </w:t>
      </w:r>
      <w:r w:rsidRPr="00237DE2">
        <w:t>°C in a darkened room</w:t>
      </w:r>
      <w:r>
        <w:t xml:space="preserve">. </w:t>
      </w:r>
      <w:r w:rsidRPr="00237DE2">
        <w:t>The calibration range was 0-340 µmol/L for the O</w:t>
      </w:r>
      <w:r w:rsidRPr="00237DE2">
        <w:rPr>
          <w:vertAlign w:val="subscript"/>
        </w:rPr>
        <w:t>2</w:t>
      </w:r>
      <w:r>
        <w:t xml:space="preserve">-sensitive </w:t>
      </w:r>
      <w:r w:rsidRPr="00237DE2">
        <w:t>planar optode and 6-9 for the pH</w:t>
      </w:r>
      <w:r>
        <w:t>-sensitive</w:t>
      </w:r>
      <w:r w:rsidRPr="00237DE2">
        <w:t xml:space="preserve"> planar optodes</w:t>
      </w:r>
      <w:r>
        <w:t xml:space="preserve"> (only values represented by the orange dots were used in the calibration). The same planar optode was used for all O</w:t>
      </w:r>
      <w:r>
        <w:rPr>
          <w:vertAlign w:val="subscript"/>
        </w:rPr>
        <w:t>2</w:t>
      </w:r>
      <w:r>
        <w:t xml:space="preserve"> measurements and three planar optodes (1, 2 and 3) for pH measurements. The pH calibration was performed with </w:t>
      </w:r>
      <w:r>
        <w:rPr>
          <w:i/>
          <w:iCs/>
        </w:rPr>
        <w:t xml:space="preserve">P. lutea </w:t>
      </w:r>
      <w:r>
        <w:t xml:space="preserve">and </w:t>
      </w:r>
      <w:r>
        <w:rPr>
          <w:i/>
          <w:iCs/>
        </w:rPr>
        <w:t xml:space="preserve">P. australensis </w:t>
      </w:r>
      <w:r>
        <w:t xml:space="preserve">skeletons on top of the optodes with the aim of </w:t>
      </w:r>
      <w:r w:rsidRPr="00613873">
        <w:t>accounting for the scattering properties of the skeleton of each coral species.</w:t>
      </w:r>
      <w:r>
        <w:t xml:space="preserve"> The calibration of ‘b’, ‘d’ and ‘f’ were used for measurements of </w:t>
      </w:r>
      <w:r>
        <w:rPr>
          <w:i/>
          <w:iCs/>
        </w:rPr>
        <w:t xml:space="preserve">P. australensis </w:t>
      </w:r>
      <w:r>
        <w:t xml:space="preserve">samples, whereas ‘c’, ‘e’ and ‘g’ were for </w:t>
      </w:r>
      <w:r>
        <w:rPr>
          <w:i/>
          <w:iCs/>
        </w:rPr>
        <w:t xml:space="preserve">P. lutea </w:t>
      </w:r>
      <w:r>
        <w:t>samples. F</w:t>
      </w:r>
      <w:r w:rsidRPr="00613873">
        <w:t>or the O</w:t>
      </w:r>
      <w:r w:rsidRPr="00613873">
        <w:rPr>
          <w:vertAlign w:val="subscript"/>
        </w:rPr>
        <w:t>2</w:t>
      </w:r>
      <w:r w:rsidRPr="00613873">
        <w:t xml:space="preserve"> calibration </w:t>
      </w:r>
      <w:r>
        <w:t xml:space="preserve">the </w:t>
      </w:r>
      <w:r w:rsidRPr="00613873">
        <w:t xml:space="preserve">scattering properties of the skeletons </w:t>
      </w:r>
      <w:r>
        <w:t>were compensated for by</w:t>
      </w:r>
      <w:r w:rsidRPr="00613873">
        <w:t xml:space="preserve"> </w:t>
      </w:r>
      <w:r>
        <w:t>subtracting</w:t>
      </w:r>
      <w:r w:rsidRPr="00613873">
        <w:t xml:space="preserve"> the first image</w:t>
      </w:r>
      <w:r>
        <w:t xml:space="preserve"> (taken at anoxic conditions)</w:t>
      </w:r>
      <w:r w:rsidRPr="00613873">
        <w:t xml:space="preserve"> of each experiment from subsequent images.</w:t>
      </w:r>
      <w:r>
        <w:t xml:space="preserve"> The samples FRH46, 47, 52 and 53 were measured on pH optode 1 (b and c), the samples FRH 48, 49, 50, 51 and 54 were measured on pH optode 2 (d and e) and the samples FRH 55, 56 and 57 were measured on pH optode 3 (f and g).  </w:t>
      </w:r>
    </w:p>
    <w:p w14:paraId="6E3231A0" w14:textId="77777777" w:rsidR="0032123F" w:rsidRPr="00A02A30" w:rsidRDefault="0032123F" w:rsidP="0032123F">
      <w:pPr>
        <w:spacing w:line="480" w:lineRule="auto"/>
        <w:ind w:right="414"/>
        <w:jc w:val="both"/>
      </w:pPr>
      <w:r w:rsidRPr="000642FF">
        <w:rPr>
          <w:b/>
          <w:bCs/>
        </w:rPr>
        <w:t xml:space="preserve">Supplementary Figure </w:t>
      </w:r>
      <w:r>
        <w:rPr>
          <w:b/>
          <w:bCs/>
        </w:rPr>
        <w:t>2</w:t>
      </w:r>
      <w:r w:rsidRPr="000642FF">
        <w:rPr>
          <w:b/>
          <w:bCs/>
        </w:rPr>
        <w:t xml:space="preserve">. </w:t>
      </w:r>
      <w:r w:rsidRPr="000642FF">
        <w:t>Schematic diagram of the chemical imaging setup. Coral</w:t>
      </w:r>
      <w:r>
        <w:t>s were positioned</w:t>
      </w:r>
      <w:r w:rsidRPr="000642FF">
        <w:t xml:space="preserve"> in</w:t>
      </w:r>
      <w:r>
        <w:t xml:space="preserve"> an aquarium with</w:t>
      </w:r>
      <w:r w:rsidRPr="000642FF">
        <w:t xml:space="preserve"> aerated seawater </w:t>
      </w:r>
      <w:r>
        <w:t>positioned</w:t>
      </w:r>
      <w:r w:rsidRPr="000642FF">
        <w:t xml:space="preserve"> on top of transparent O</w:t>
      </w:r>
      <w:r w:rsidRPr="000642FF">
        <w:rPr>
          <w:vertAlign w:val="subscript"/>
        </w:rPr>
        <w:t>2</w:t>
      </w:r>
      <w:r w:rsidRPr="000642FF">
        <w:t xml:space="preserve"> or pH planar optode</w:t>
      </w:r>
      <w:r>
        <w:t>. Coral samples were</w:t>
      </w:r>
      <w:r w:rsidRPr="000642FF">
        <w:t xml:space="preserve"> fixed in place by using black plasticine</w:t>
      </w:r>
      <w:r>
        <w:t xml:space="preserve"> to seal of the sample edges </w:t>
      </w:r>
      <w:r w:rsidRPr="000642FF">
        <w:t>impair</w:t>
      </w:r>
      <w:r>
        <w:t>ing</w:t>
      </w:r>
      <w:r w:rsidRPr="000642FF">
        <w:t xml:space="preserve"> exchange of O</w:t>
      </w:r>
      <w:r w:rsidRPr="000642FF">
        <w:rPr>
          <w:vertAlign w:val="subscript"/>
        </w:rPr>
        <w:t>2</w:t>
      </w:r>
      <w:r w:rsidRPr="000642FF">
        <w:t xml:space="preserve"> between the aquarium, the coral tissue and the coral skeleton cut surface. The coral skeleton </w:t>
      </w:r>
      <w:r>
        <w:t>cross-section</w:t>
      </w:r>
      <w:r w:rsidRPr="000642FF">
        <w:t xml:space="preserve"> was illuminated through the planar optode by Schott Leica KL 2500 LCD Cold Light Sources. The coral skeleton </w:t>
      </w:r>
      <w:r>
        <w:t>cross-sections</w:t>
      </w:r>
      <w:r w:rsidRPr="000642FF">
        <w:t xml:space="preserve"> w</w:t>
      </w:r>
      <w:r>
        <w:t>ere</w:t>
      </w:r>
      <w:r w:rsidRPr="000642FF">
        <w:t xml:space="preserve"> imaged using a modified DSLR camera equipped with emission filte</w:t>
      </w:r>
      <w:r>
        <w:t xml:space="preserve">rs, specifically chosen for the used indicator and reference dyes for </w:t>
      </w:r>
      <w:r w:rsidRPr="000642FF">
        <w:t>O</w:t>
      </w:r>
      <w:r>
        <w:rPr>
          <w:vertAlign w:val="subscript"/>
        </w:rPr>
        <w:t xml:space="preserve">2 </w:t>
      </w:r>
      <w:r>
        <w:t>and</w:t>
      </w:r>
      <w:r w:rsidRPr="000642FF">
        <w:t xml:space="preserve"> pH</w:t>
      </w:r>
      <w:r>
        <w:t xml:space="preserve"> imaging</w:t>
      </w:r>
      <w:r w:rsidRPr="000642FF">
        <w:t xml:space="preserve">. A trigger box </w:t>
      </w:r>
      <w:r>
        <w:t>controlled through a PC was used for synchronized triggering of the excitation light and image acquisition</w:t>
      </w:r>
      <w:r w:rsidRPr="000642FF">
        <w:t xml:space="preserve">. </w:t>
      </w:r>
      <w:r>
        <w:t xml:space="preserve">These </w:t>
      </w:r>
      <w:r>
        <w:lastRenderedPageBreak/>
        <w:t xml:space="preserve">images were split and saved for the three individual channels (red, green and blue) of the camera. They were analyzed using the freely available software ImageJ v1.53K. Images were calibrated and colour coded according to a separately acquired calibration curve. </w:t>
      </w:r>
      <w:r w:rsidRPr="000642FF">
        <w:t>For specifications on the setup</w:t>
      </w:r>
      <w:r>
        <w:t xml:space="preserve"> and data analysis</w:t>
      </w:r>
      <w:r w:rsidRPr="000642FF">
        <w:t xml:space="preserve"> please refer to Larsen et al. (). </w:t>
      </w:r>
    </w:p>
    <w:p w14:paraId="16A6C649" w14:textId="77777777" w:rsidR="0032123F" w:rsidRDefault="0032123F" w:rsidP="0032123F">
      <w:pPr>
        <w:spacing w:line="480" w:lineRule="auto"/>
        <w:ind w:right="414"/>
        <w:jc w:val="both"/>
      </w:pPr>
      <w:r w:rsidRPr="000642FF">
        <w:rPr>
          <w:b/>
          <w:bCs/>
        </w:rPr>
        <w:t xml:space="preserve">Supplementary Figure </w:t>
      </w:r>
      <w:r>
        <w:rPr>
          <w:b/>
          <w:bCs/>
        </w:rPr>
        <w:t>2</w:t>
      </w:r>
      <w:r w:rsidRPr="000642FF">
        <w:rPr>
          <w:b/>
          <w:bCs/>
        </w:rPr>
        <w:t xml:space="preserve">. </w:t>
      </w:r>
      <w:r w:rsidRPr="000642FF">
        <w:t>Schematic diagram of the chemical imaging setup. Coral</w:t>
      </w:r>
      <w:r>
        <w:t>s were positioned</w:t>
      </w:r>
      <w:r w:rsidRPr="000642FF">
        <w:t xml:space="preserve"> in</w:t>
      </w:r>
      <w:r>
        <w:t xml:space="preserve"> an aquarium with</w:t>
      </w:r>
      <w:r w:rsidRPr="000642FF">
        <w:t xml:space="preserve"> aerated seawater </w:t>
      </w:r>
      <w:r>
        <w:t>positioned</w:t>
      </w:r>
      <w:r w:rsidRPr="000642FF">
        <w:t xml:space="preserve"> on top of transparent O</w:t>
      </w:r>
      <w:r w:rsidRPr="000642FF">
        <w:rPr>
          <w:vertAlign w:val="subscript"/>
        </w:rPr>
        <w:t>2</w:t>
      </w:r>
      <w:r w:rsidRPr="000642FF">
        <w:t xml:space="preserve"> or pH planar optode</w:t>
      </w:r>
      <w:r>
        <w:t>. Coral samples were</w:t>
      </w:r>
      <w:r w:rsidRPr="000642FF">
        <w:t xml:space="preserve"> fixed in place by using black plasticine</w:t>
      </w:r>
      <w:r>
        <w:t xml:space="preserve"> to seal of the sample edges </w:t>
      </w:r>
      <w:r w:rsidRPr="000642FF">
        <w:t>impair</w:t>
      </w:r>
      <w:r>
        <w:t>ing</w:t>
      </w:r>
      <w:r w:rsidRPr="000642FF">
        <w:t xml:space="preserve"> exchange of O</w:t>
      </w:r>
      <w:r w:rsidRPr="000642FF">
        <w:rPr>
          <w:vertAlign w:val="subscript"/>
        </w:rPr>
        <w:t>2</w:t>
      </w:r>
      <w:r w:rsidRPr="000642FF">
        <w:t xml:space="preserve"> between the aquarium, the coral tissue and the coral skeleton cut surface. The coral skeleton </w:t>
      </w:r>
      <w:r>
        <w:t>cross-section</w:t>
      </w:r>
      <w:r w:rsidRPr="000642FF">
        <w:t xml:space="preserve"> was illuminated through the planar optode by Schott Leica KL 2500 LCD Cold Light Sources. The coral skeleton </w:t>
      </w:r>
      <w:r>
        <w:t>cross-sections</w:t>
      </w:r>
      <w:r w:rsidRPr="000642FF">
        <w:t xml:space="preserve"> w</w:t>
      </w:r>
      <w:r>
        <w:t>ere</w:t>
      </w:r>
      <w:r w:rsidRPr="000642FF">
        <w:t xml:space="preserve"> imaged using a modified DSLR camera equipped with emission filte</w:t>
      </w:r>
      <w:r>
        <w:t xml:space="preserve">rs, specifically chosen for the used indicator and reference dyes for </w:t>
      </w:r>
      <w:r w:rsidRPr="000642FF">
        <w:t>O</w:t>
      </w:r>
      <w:r>
        <w:rPr>
          <w:vertAlign w:val="subscript"/>
        </w:rPr>
        <w:t xml:space="preserve">2 </w:t>
      </w:r>
      <w:r>
        <w:t>and</w:t>
      </w:r>
      <w:r w:rsidRPr="000642FF">
        <w:t xml:space="preserve"> pH</w:t>
      </w:r>
      <w:r>
        <w:t xml:space="preserve"> imaging</w:t>
      </w:r>
      <w:r w:rsidRPr="000642FF">
        <w:t xml:space="preserve">. A trigger box </w:t>
      </w:r>
      <w:r>
        <w:t>controlled through a PC was used for synchronized triggering of the excitation light and image acquisition</w:t>
      </w:r>
      <w:r w:rsidRPr="000642FF">
        <w:t xml:space="preserve">. </w:t>
      </w:r>
      <w:r>
        <w:t xml:space="preserve">These images were split and saved for the three individual channels (red, green and blue) of the camera. They were analyzed using the freely available software ImageJ v1.53K. Images were calibrated and colour coded according to a separately acquired calibration curve. </w:t>
      </w:r>
      <w:r w:rsidRPr="000642FF">
        <w:t>For specifications on the setup</w:t>
      </w:r>
      <w:r>
        <w:t xml:space="preserve"> and data analysis</w:t>
      </w:r>
      <w:r w:rsidRPr="000642FF">
        <w:t xml:space="preserve"> please refer to Larsen et al. (</w:t>
      </w:r>
      <w:r>
        <w:t>2011</w:t>
      </w:r>
      <w:r w:rsidRPr="000642FF">
        <w:t xml:space="preserve">). </w:t>
      </w:r>
    </w:p>
    <w:p w14:paraId="17118C01" w14:textId="77777777" w:rsidR="0032123F" w:rsidRDefault="0032123F" w:rsidP="0032123F">
      <w:pPr>
        <w:spacing w:line="480" w:lineRule="auto"/>
        <w:jc w:val="both"/>
      </w:pPr>
      <w:r w:rsidRPr="00FF05ED">
        <w:rPr>
          <w:b/>
          <w:bCs/>
        </w:rPr>
        <w:t xml:space="preserve">Supplementary Figure </w:t>
      </w:r>
      <w:r>
        <w:rPr>
          <w:b/>
          <w:bCs/>
        </w:rPr>
        <w:t>3</w:t>
      </w:r>
      <w:r w:rsidRPr="00FF05ED">
        <w:rPr>
          <w:b/>
          <w:bCs/>
        </w:rPr>
        <w:t xml:space="preserve">. </w:t>
      </w:r>
      <w:r w:rsidRPr="000642FF">
        <w:t>Hyperspectral reflectance imaging of</w:t>
      </w:r>
      <w:r>
        <w:t xml:space="preserve"> </w:t>
      </w:r>
      <w:r>
        <w:rPr>
          <w:i/>
          <w:iCs/>
        </w:rPr>
        <w:t xml:space="preserve">Po. lutea </w:t>
      </w:r>
      <w:r>
        <w:t>(a, c and e)</w:t>
      </w:r>
      <w:r>
        <w:rPr>
          <w:i/>
          <w:iCs/>
        </w:rPr>
        <w:t xml:space="preserve"> </w:t>
      </w:r>
      <w:r>
        <w:t xml:space="preserve">and </w:t>
      </w:r>
      <w:r>
        <w:rPr>
          <w:i/>
          <w:iCs/>
        </w:rPr>
        <w:t xml:space="preserve">Pa. asutralensis </w:t>
      </w:r>
      <w:r>
        <w:t xml:space="preserve">(b, d and f) skeletal cross-sections </w:t>
      </w:r>
      <w:r w:rsidRPr="000642FF">
        <w:t>showing the spatial distribution of zones with similar reflectance properties. The graphs show the reflectance of each colour coded skeletal zone indicating apparent chlorophyll pigments composition. Specifically, absorption in the regions 550</w:t>
      </w:r>
      <w:r>
        <w:t>-</w:t>
      </w:r>
      <w:r w:rsidRPr="000642FF">
        <w:t>640 nm suggest phycobiliprotein; in the region 6</w:t>
      </w:r>
      <w:r>
        <w:t>60-685</w:t>
      </w:r>
      <w:r w:rsidRPr="000642FF">
        <w:t xml:space="preserve"> nm suggests chlorophyll </w:t>
      </w:r>
      <w:r w:rsidRPr="000642FF">
        <w:rPr>
          <w:i/>
          <w:iCs/>
        </w:rPr>
        <w:t>a</w:t>
      </w:r>
      <w:r w:rsidRPr="000642FF">
        <w:t xml:space="preserve">; in the region </w:t>
      </w:r>
      <w:r w:rsidRPr="000642FF">
        <w:lastRenderedPageBreak/>
        <w:t>71</w:t>
      </w:r>
      <w:r>
        <w:t>0</w:t>
      </w:r>
      <w:r w:rsidRPr="000642FF">
        <w:t>-7</w:t>
      </w:r>
      <w:r>
        <w:t>40</w:t>
      </w:r>
      <w:r w:rsidRPr="000642FF">
        <w:t xml:space="preserve"> nm suggests chlorophyl</w:t>
      </w:r>
      <w:r>
        <w:t>l</w:t>
      </w:r>
      <w:r w:rsidRPr="000642FF">
        <w:t xml:space="preserve"> </w:t>
      </w:r>
      <w:r w:rsidRPr="000642FF">
        <w:rPr>
          <w:i/>
          <w:iCs/>
        </w:rPr>
        <w:t>d</w:t>
      </w:r>
      <w:r w:rsidRPr="000642FF">
        <w:t xml:space="preserve">, </w:t>
      </w:r>
      <w:r w:rsidRPr="000642FF">
        <w:rPr>
          <w:i/>
          <w:iCs/>
        </w:rPr>
        <w:t>f</w:t>
      </w:r>
      <w:r w:rsidRPr="000642FF">
        <w:t xml:space="preserve">, and far-red chlorophyll </w:t>
      </w:r>
      <w:r w:rsidRPr="000642FF">
        <w:rPr>
          <w:i/>
          <w:iCs/>
        </w:rPr>
        <w:t>a</w:t>
      </w:r>
      <w:r w:rsidRPr="000642FF">
        <w:t>; in the regions 745</w:t>
      </w:r>
      <w:r>
        <w:t>-</w:t>
      </w:r>
      <w:r w:rsidRPr="000642FF">
        <w:t>855 nm suggest bacteriochlorophyll. Scalebars are 1 cm.</w:t>
      </w:r>
    </w:p>
    <w:p w14:paraId="1734BFA8" w14:textId="77777777" w:rsidR="0032123F" w:rsidRDefault="0032123F" w:rsidP="0032123F">
      <w:pPr>
        <w:spacing w:line="480" w:lineRule="auto"/>
        <w:ind w:right="414"/>
        <w:jc w:val="both"/>
      </w:pPr>
      <w:r w:rsidRPr="000642FF">
        <w:rPr>
          <w:b/>
          <w:bCs/>
        </w:rPr>
        <w:t xml:space="preserve">Supplementary Figure </w:t>
      </w:r>
      <w:r>
        <w:rPr>
          <w:b/>
          <w:bCs/>
        </w:rPr>
        <w:t>4</w:t>
      </w:r>
      <w:r w:rsidRPr="000642FF">
        <w:rPr>
          <w:b/>
          <w:bCs/>
        </w:rPr>
        <w:t xml:space="preserve">. </w:t>
      </w:r>
      <w:r w:rsidRPr="000642FF">
        <w:t xml:space="preserve">Boxplots showing the observed ɑ-diversity of the anoxygenic phototrophic bacteria harboured in </w:t>
      </w:r>
      <w:r w:rsidRPr="000642FF">
        <w:rPr>
          <w:i/>
          <w:iCs/>
        </w:rPr>
        <w:t xml:space="preserve">Po. lutea </w:t>
      </w:r>
      <w:r w:rsidRPr="000642FF">
        <w:t xml:space="preserve">(a) and </w:t>
      </w:r>
      <w:r w:rsidRPr="000642FF">
        <w:rPr>
          <w:i/>
          <w:iCs/>
        </w:rPr>
        <w:t xml:space="preserve">Pa. australensis </w:t>
      </w:r>
      <w:r w:rsidRPr="000642FF">
        <w:t>(b) skeleton</w:t>
      </w:r>
      <w:r>
        <w:t>s</w:t>
      </w:r>
      <w:r w:rsidRPr="000642FF">
        <w:t>.</w:t>
      </w:r>
    </w:p>
    <w:p w14:paraId="5DA959D6" w14:textId="77777777" w:rsidR="0032123F" w:rsidRDefault="0032123F" w:rsidP="0032123F">
      <w:pPr>
        <w:spacing w:line="480" w:lineRule="auto"/>
        <w:ind w:right="414"/>
        <w:jc w:val="both"/>
      </w:pPr>
      <w:r w:rsidRPr="000642FF">
        <w:rPr>
          <w:b/>
          <w:bCs/>
        </w:rPr>
        <w:t xml:space="preserve">Supplementary Figure </w:t>
      </w:r>
      <w:r>
        <w:rPr>
          <w:b/>
          <w:bCs/>
        </w:rPr>
        <w:t>5</w:t>
      </w:r>
      <w:r w:rsidRPr="000642FF">
        <w:rPr>
          <w:b/>
          <w:bCs/>
        </w:rPr>
        <w:t xml:space="preserve">. </w:t>
      </w:r>
      <w:r w:rsidRPr="000642FF">
        <w:t xml:space="preserve">Chemical imaging </w:t>
      </w:r>
      <w:r>
        <w:t>of</w:t>
      </w:r>
      <w:r w:rsidRPr="000642FF">
        <w:t xml:space="preserve"> </w:t>
      </w:r>
      <w:r w:rsidRPr="000642FF">
        <w:rPr>
          <w:i/>
          <w:iCs/>
        </w:rPr>
        <w:t>Po. lutea</w:t>
      </w:r>
      <w:r>
        <w:rPr>
          <w:i/>
          <w:iCs/>
        </w:rPr>
        <w:t xml:space="preserve"> </w:t>
      </w:r>
      <w:r>
        <w:t>FRH48</w:t>
      </w:r>
      <w:r w:rsidRPr="000642FF">
        <w:rPr>
          <w:i/>
          <w:iCs/>
        </w:rPr>
        <w:t xml:space="preserve"> </w:t>
      </w:r>
      <w:r w:rsidRPr="000642FF">
        <w:t xml:space="preserve">and </w:t>
      </w:r>
      <w:r w:rsidRPr="000642FF">
        <w:rPr>
          <w:i/>
          <w:iCs/>
        </w:rPr>
        <w:t>Pa. australensis</w:t>
      </w:r>
      <w:r>
        <w:rPr>
          <w:i/>
          <w:iCs/>
        </w:rPr>
        <w:t xml:space="preserve"> </w:t>
      </w:r>
      <w:r>
        <w:t xml:space="preserve">FRH54 skeletons. The images show </w:t>
      </w:r>
      <w:r w:rsidRPr="000642FF">
        <w:t>O</w:t>
      </w:r>
      <w:r w:rsidRPr="000642FF">
        <w:rPr>
          <w:vertAlign w:val="subscript"/>
        </w:rPr>
        <w:t>2</w:t>
      </w:r>
      <w:r w:rsidRPr="000642FF">
        <w:t xml:space="preserve"> and pH gradients within the skeleton </w:t>
      </w:r>
      <w:r>
        <w:t xml:space="preserve">during </w:t>
      </w:r>
      <w:r w:rsidRPr="00B02820">
        <w:rPr>
          <w:color w:val="000000" w:themeColor="text1"/>
        </w:rPr>
        <w:t>homogeneous exposure of the cut surface to incident photon irradiance (400-700 nm)</w:t>
      </w:r>
      <w:r>
        <w:rPr>
          <w:i/>
          <w:iCs/>
          <w:color w:val="000000" w:themeColor="text1"/>
        </w:rPr>
        <w:t xml:space="preserve"> </w:t>
      </w:r>
      <w:r>
        <w:t xml:space="preserve">of </w:t>
      </w:r>
      <w:r w:rsidRPr="000642FF">
        <w:t>~21</w:t>
      </w:r>
      <w:r>
        <w:t xml:space="preserve"> </w:t>
      </w:r>
      <w:r w:rsidRPr="000642FF">
        <w:rPr>
          <w:rFonts w:ascii="u" w:hAnsi="u"/>
        </w:rPr>
        <w:t>µ</w:t>
      </w:r>
      <w:r w:rsidRPr="000642FF">
        <w:t>mol photons m</w:t>
      </w:r>
      <w:r w:rsidRPr="000642FF">
        <w:rPr>
          <w:vertAlign w:val="superscript"/>
        </w:rPr>
        <w:t>-2</w:t>
      </w:r>
      <w:r w:rsidRPr="000642FF">
        <w:t xml:space="preserve"> s</w:t>
      </w:r>
      <w:r w:rsidRPr="000642FF">
        <w:rPr>
          <w:vertAlign w:val="superscript"/>
        </w:rPr>
        <w:t>-1</w:t>
      </w:r>
      <w:r>
        <w:t xml:space="preserve"> and during the following dark profile</w:t>
      </w:r>
      <w:r w:rsidRPr="000642FF">
        <w:t xml:space="preserve">. </w:t>
      </w:r>
      <w:r>
        <w:t xml:space="preserve">Scale bars of </w:t>
      </w:r>
      <w:r w:rsidRPr="000642FF">
        <w:t>O</w:t>
      </w:r>
      <w:r w:rsidRPr="000642FF">
        <w:rPr>
          <w:vertAlign w:val="subscript"/>
        </w:rPr>
        <w:t>2</w:t>
      </w:r>
      <w:r w:rsidRPr="000642FF">
        <w:t xml:space="preserve"> and pH</w:t>
      </w:r>
      <w:r>
        <w:t xml:space="preserve"> aim to show the values measured within the skeleton cross-sections. While pH spanned several units across the skeleton’s cross-sections, </w:t>
      </w:r>
      <w:r w:rsidRPr="000642FF">
        <w:t>O</w:t>
      </w:r>
      <w:r w:rsidRPr="000642FF">
        <w:rPr>
          <w:vertAlign w:val="subscript"/>
        </w:rPr>
        <w:t>2</w:t>
      </w:r>
      <w:r w:rsidRPr="000642FF">
        <w:t xml:space="preserve"> </w:t>
      </w:r>
      <w:r>
        <w:t>values were very low throughout the whole experiment. S</w:t>
      </w:r>
      <w:r w:rsidRPr="000642FF">
        <w:t>keleton</w:t>
      </w:r>
      <w:r>
        <w:t>s</w:t>
      </w:r>
      <w:r w:rsidRPr="000642FF">
        <w:t xml:space="preserve"> were acclimated for eight hours prior </w:t>
      </w:r>
      <w:r>
        <w:t xml:space="preserve">to </w:t>
      </w:r>
      <w:r w:rsidRPr="000642FF">
        <w:t xml:space="preserve">experiments. </w:t>
      </w:r>
      <w:r>
        <w:t>Scale bars next to skeleton cross-sections are 1 cm.</w:t>
      </w:r>
    </w:p>
    <w:p w14:paraId="44E83D5C" w14:textId="77777777" w:rsidR="0032123F" w:rsidRDefault="0032123F" w:rsidP="0032123F">
      <w:pPr>
        <w:spacing w:line="480" w:lineRule="auto"/>
        <w:jc w:val="both"/>
      </w:pPr>
      <w:r w:rsidRPr="006D6D02">
        <w:rPr>
          <w:b/>
          <w:bCs/>
        </w:rPr>
        <w:t xml:space="preserve">Supplementary Figure </w:t>
      </w:r>
      <w:r>
        <w:rPr>
          <w:b/>
          <w:bCs/>
        </w:rPr>
        <w:t>6</w:t>
      </w:r>
      <w:r w:rsidRPr="006D6D02">
        <w:rPr>
          <w:b/>
          <w:bCs/>
        </w:rPr>
        <w:t>.</w:t>
      </w:r>
      <w:r>
        <w:rPr>
          <w:b/>
          <w:bCs/>
        </w:rPr>
        <w:t xml:space="preserve"> </w:t>
      </w:r>
      <w:r w:rsidRPr="00D10A38">
        <w:t>Panels</w:t>
      </w:r>
      <w:r>
        <w:t xml:space="preserve"> aim to</w:t>
      </w:r>
      <w:r w:rsidRPr="00D10A38">
        <w:t xml:space="preserve"> </w:t>
      </w:r>
      <w:r>
        <w:t xml:space="preserve">link physicochemical gradients and inferred functional profiles across skeletal layers of </w:t>
      </w:r>
      <w:r>
        <w:rPr>
          <w:i/>
          <w:iCs/>
        </w:rPr>
        <w:t xml:space="preserve">Po. lutea </w:t>
      </w:r>
      <w:r>
        <w:t xml:space="preserve">and </w:t>
      </w:r>
      <w:r>
        <w:rPr>
          <w:i/>
          <w:iCs/>
        </w:rPr>
        <w:t xml:space="preserve">Pa. australensis </w:t>
      </w:r>
      <w:r>
        <w:t>samples.</w:t>
      </w:r>
      <w:r>
        <w:rPr>
          <w:b/>
          <w:bCs/>
        </w:rPr>
        <w:t xml:space="preserve"> </w:t>
      </w:r>
      <w:r w:rsidRPr="00D10A38">
        <w:t xml:space="preserve">Top panel shows </w:t>
      </w:r>
      <w:r>
        <w:t>O</w:t>
      </w:r>
      <w:r w:rsidRPr="00D10A38">
        <w:rPr>
          <w:vertAlign w:val="subscript"/>
        </w:rPr>
        <w:t>2</w:t>
      </w:r>
      <w:r>
        <w:t xml:space="preserve"> and pH </w:t>
      </w:r>
      <w:r w:rsidRPr="005D030E">
        <w:t>gradients</w:t>
      </w:r>
      <w:r>
        <w:t xml:space="preserve"> across the skeleton as measured during </w:t>
      </w:r>
      <w:r w:rsidRPr="002D7975">
        <w:rPr>
          <w:color w:val="000000" w:themeColor="text1"/>
        </w:rPr>
        <w:t xml:space="preserve">homogeneous exposure of the cut surface to incident photon irradiance (400-700 nm) </w:t>
      </w:r>
      <w:r>
        <w:t xml:space="preserve">of ~21 </w:t>
      </w:r>
      <w:r w:rsidRPr="000642FF">
        <w:rPr>
          <w:rFonts w:ascii="u" w:hAnsi="u"/>
        </w:rPr>
        <w:t>µ</w:t>
      </w:r>
      <w:r w:rsidRPr="000642FF">
        <w:t>mol photons m</w:t>
      </w:r>
      <w:r w:rsidRPr="000642FF">
        <w:rPr>
          <w:vertAlign w:val="superscript"/>
        </w:rPr>
        <w:t>-2</w:t>
      </w:r>
      <w:r w:rsidRPr="000642FF">
        <w:t xml:space="preserve"> s</w:t>
      </w:r>
      <w:r w:rsidRPr="000642FF">
        <w:rPr>
          <w:vertAlign w:val="superscript"/>
        </w:rPr>
        <w:t>-1</w:t>
      </w:r>
      <w:r>
        <w:t>. Middle (whole bacterial community) and bottom (bacterial phototrophs) panels show carbon, nitrogen and sulphur inferred functional profiles of each skeletal layer. Functions were inferred using the software PICRUSt and Tax4Fun2, and only those metabolic pathways that were retrieved from both software were retained and presented. Bubble sizes represent abundance.</w:t>
      </w:r>
    </w:p>
    <w:p w14:paraId="1C86CB5D" w14:textId="77777777" w:rsidR="0032123F" w:rsidRPr="000642FF" w:rsidRDefault="0032123F" w:rsidP="0032123F">
      <w:pPr>
        <w:spacing w:after="200" w:line="480" w:lineRule="auto"/>
        <w:ind w:right="414"/>
        <w:jc w:val="both"/>
      </w:pPr>
      <w:r w:rsidRPr="000642FF">
        <w:rPr>
          <w:b/>
          <w:bCs/>
        </w:rPr>
        <w:t xml:space="preserve">Supplementary Figure </w:t>
      </w:r>
      <w:r>
        <w:rPr>
          <w:b/>
          <w:bCs/>
        </w:rPr>
        <w:t>7.</w:t>
      </w:r>
      <w:r w:rsidRPr="000642FF">
        <w:rPr>
          <w:b/>
          <w:bCs/>
        </w:rPr>
        <w:t xml:space="preserve"> </w:t>
      </w:r>
      <w:r w:rsidRPr="000642FF">
        <w:t xml:space="preserve">CCA biplot </w:t>
      </w:r>
      <w:r>
        <w:t>showing</w:t>
      </w:r>
      <w:r w:rsidRPr="000642FF">
        <w:t xml:space="preserve"> </w:t>
      </w:r>
      <w:r w:rsidRPr="000642FF">
        <w:rPr>
          <w:i/>
          <w:iCs/>
        </w:rPr>
        <w:t xml:space="preserve">Po. lutea </w:t>
      </w:r>
      <w:r w:rsidRPr="000642FF">
        <w:t xml:space="preserve">bacterial community structure according to the explanatory </w:t>
      </w:r>
      <w:r>
        <w:t xml:space="preserve">quantitative </w:t>
      </w:r>
      <w:r w:rsidRPr="000642FF">
        <w:t>variables</w:t>
      </w:r>
      <w:r>
        <w:t xml:space="preserve"> O</w:t>
      </w:r>
      <w:r w:rsidRPr="00E214F1">
        <w:rPr>
          <w:vertAlign w:val="subscript"/>
        </w:rPr>
        <w:t>2</w:t>
      </w:r>
      <w:r w:rsidRPr="000642FF">
        <w:t xml:space="preserve"> and pH </w:t>
      </w:r>
      <w:r>
        <w:t xml:space="preserve">(arrows) </w:t>
      </w:r>
      <w:r w:rsidRPr="000642FF">
        <w:t xml:space="preserve">measured </w:t>
      </w:r>
      <w:r>
        <w:t xml:space="preserve">during </w:t>
      </w:r>
      <w:r w:rsidRPr="002D7975">
        <w:rPr>
          <w:color w:val="000000" w:themeColor="text1"/>
        </w:rPr>
        <w:t>homogeneous exposure of the cut surface to incident photon irradiance (400-700 nm)</w:t>
      </w:r>
      <w:r>
        <w:t xml:space="preserve"> of</w:t>
      </w:r>
      <w:r w:rsidRPr="000642FF">
        <w:t xml:space="preserve"> </w:t>
      </w:r>
      <w:r>
        <w:t>~</w:t>
      </w:r>
      <w:r w:rsidRPr="000642FF">
        <w:t xml:space="preserve">50 </w:t>
      </w:r>
      <w:r w:rsidRPr="000642FF">
        <w:lastRenderedPageBreak/>
        <w:t>µmol m</w:t>
      </w:r>
      <w:r w:rsidRPr="000642FF">
        <w:rPr>
          <w:vertAlign w:val="superscript"/>
        </w:rPr>
        <w:t>-2</w:t>
      </w:r>
      <w:r w:rsidRPr="000642FF">
        <w:t xml:space="preserve"> s</w:t>
      </w:r>
      <w:r w:rsidRPr="000642FF">
        <w:rPr>
          <w:vertAlign w:val="superscript"/>
        </w:rPr>
        <w:t>-1</w:t>
      </w:r>
      <w:r w:rsidRPr="000642FF">
        <w:t xml:space="preserve">. Numbers </w:t>
      </w:r>
      <w:r>
        <w:t>indicate</w:t>
      </w:r>
      <w:r w:rsidRPr="000642FF">
        <w:t xml:space="preserve"> individual ASVs and for a full list linking to their taxonomy refer to Supp</w:t>
      </w:r>
      <w:r>
        <w:t>lementary</w:t>
      </w:r>
      <w:r w:rsidRPr="000642FF">
        <w:t xml:space="preserve"> </w:t>
      </w:r>
      <w:r>
        <w:t>Table</w:t>
      </w:r>
      <w:r w:rsidRPr="000642FF">
        <w:t xml:space="preserve"> </w:t>
      </w:r>
      <w:r>
        <w:t>4</w:t>
      </w:r>
      <w:r w:rsidRPr="000642FF">
        <w:t xml:space="preserve">. Highlighted ASVs represent taxa listed in the main manuscript body, specifically </w:t>
      </w:r>
      <w:r w:rsidRPr="000642FF">
        <w:rPr>
          <w:i/>
          <w:iCs/>
        </w:rPr>
        <w:t xml:space="preserve">Spirochaeta </w:t>
      </w:r>
      <w:r w:rsidRPr="000642FF">
        <w:t xml:space="preserve">(bold numbers), </w:t>
      </w:r>
      <w:r w:rsidRPr="000642FF">
        <w:rPr>
          <w:i/>
          <w:iCs/>
        </w:rPr>
        <w:t xml:space="preserve">Tistlia </w:t>
      </w:r>
      <w:r w:rsidRPr="000642FF">
        <w:t xml:space="preserve">(italic bold numbers) and </w:t>
      </w:r>
      <w:r w:rsidRPr="000642FF">
        <w:rPr>
          <w:i/>
          <w:iCs/>
        </w:rPr>
        <w:t>Chlorobi</w:t>
      </w:r>
      <w:r w:rsidRPr="000642FF">
        <w:t xml:space="preserve"> (underlined numbers).</w:t>
      </w:r>
    </w:p>
    <w:p w14:paraId="7A34798F" w14:textId="77777777" w:rsidR="0032123F" w:rsidRPr="000642FF" w:rsidRDefault="0032123F" w:rsidP="0032123F">
      <w:pPr>
        <w:spacing w:line="480" w:lineRule="auto"/>
        <w:ind w:right="414"/>
        <w:jc w:val="both"/>
      </w:pPr>
      <w:r w:rsidRPr="000642FF">
        <w:rPr>
          <w:b/>
          <w:bCs/>
        </w:rPr>
        <w:t xml:space="preserve">Supplementary Figure </w:t>
      </w:r>
      <w:r>
        <w:rPr>
          <w:b/>
          <w:bCs/>
        </w:rPr>
        <w:t>8</w:t>
      </w:r>
      <w:r w:rsidRPr="000642FF">
        <w:rPr>
          <w:b/>
          <w:bCs/>
        </w:rPr>
        <w:t>.</w:t>
      </w:r>
      <w:r>
        <w:t xml:space="preserve"> </w:t>
      </w:r>
      <w:r w:rsidRPr="000642FF">
        <w:t xml:space="preserve">CCA biplot </w:t>
      </w:r>
      <w:r>
        <w:t>showing</w:t>
      </w:r>
      <w:r w:rsidRPr="000642FF">
        <w:t xml:space="preserve"> </w:t>
      </w:r>
      <w:r w:rsidRPr="000642FF">
        <w:rPr>
          <w:i/>
          <w:iCs/>
        </w:rPr>
        <w:t>P</w:t>
      </w:r>
      <w:r>
        <w:rPr>
          <w:i/>
          <w:iCs/>
        </w:rPr>
        <w:t xml:space="preserve">a. australensis </w:t>
      </w:r>
      <w:r w:rsidRPr="000642FF">
        <w:t xml:space="preserve">bacterial community structure according to the explanatory </w:t>
      </w:r>
      <w:r>
        <w:t xml:space="preserve">quantitative </w:t>
      </w:r>
      <w:r w:rsidRPr="000642FF">
        <w:t>variables</w:t>
      </w:r>
      <w:r>
        <w:t xml:space="preserve"> O</w:t>
      </w:r>
      <w:r w:rsidRPr="00E214F1">
        <w:rPr>
          <w:vertAlign w:val="subscript"/>
        </w:rPr>
        <w:t>2</w:t>
      </w:r>
      <w:r w:rsidRPr="000642FF">
        <w:t xml:space="preserve"> and pH </w:t>
      </w:r>
      <w:r>
        <w:t xml:space="preserve">(arrows) </w:t>
      </w:r>
      <w:r w:rsidRPr="000642FF">
        <w:t xml:space="preserve">measured </w:t>
      </w:r>
      <w:r>
        <w:t xml:space="preserve">during </w:t>
      </w:r>
      <w:r w:rsidRPr="002D7975">
        <w:rPr>
          <w:color w:val="000000" w:themeColor="text1"/>
        </w:rPr>
        <w:t>homogeneous exposure of the cut surface to incident photon irradiance (400-700 nm)</w:t>
      </w:r>
      <w:r>
        <w:t xml:space="preserve"> of</w:t>
      </w:r>
      <w:r w:rsidRPr="000642FF">
        <w:t xml:space="preserve"> </w:t>
      </w:r>
      <w:r>
        <w:t>~21</w:t>
      </w:r>
      <w:r w:rsidRPr="000642FF">
        <w:t xml:space="preserve"> µmol m</w:t>
      </w:r>
      <w:r w:rsidRPr="000642FF">
        <w:rPr>
          <w:vertAlign w:val="superscript"/>
        </w:rPr>
        <w:t>-2</w:t>
      </w:r>
      <w:r w:rsidRPr="000642FF">
        <w:t xml:space="preserve"> s</w:t>
      </w:r>
      <w:r w:rsidRPr="000642FF">
        <w:rPr>
          <w:vertAlign w:val="superscript"/>
        </w:rPr>
        <w:t>-1</w:t>
      </w:r>
      <w:r w:rsidRPr="000642FF">
        <w:t xml:space="preserve">.  Numbers </w:t>
      </w:r>
      <w:r>
        <w:t>indicate</w:t>
      </w:r>
      <w:r w:rsidRPr="000642FF">
        <w:t xml:space="preserve"> individual ASVs and for a full list linking to their taxonomy refer to Supp</w:t>
      </w:r>
      <w:r>
        <w:t>lementary</w:t>
      </w:r>
      <w:r w:rsidRPr="000642FF">
        <w:t xml:space="preserve"> </w:t>
      </w:r>
      <w:r>
        <w:t>Table</w:t>
      </w:r>
      <w:r w:rsidRPr="000642FF">
        <w:t xml:space="preserve"> </w:t>
      </w:r>
      <w:r>
        <w:t>5</w:t>
      </w:r>
      <w:r w:rsidRPr="000642FF">
        <w:t xml:space="preserve">. Highlighted ASVs represent taxa listed in the main manuscript body, specifically </w:t>
      </w:r>
      <w:r w:rsidRPr="000642FF">
        <w:rPr>
          <w:i/>
          <w:iCs/>
        </w:rPr>
        <w:t>Alteromonas</w:t>
      </w:r>
      <w:r w:rsidRPr="000642FF">
        <w:t xml:space="preserve"> (bold numbers), </w:t>
      </w:r>
      <w:r w:rsidRPr="000642FF">
        <w:rPr>
          <w:i/>
          <w:iCs/>
        </w:rPr>
        <w:t>Pseudoalteromoans</w:t>
      </w:r>
      <w:r w:rsidRPr="000642FF">
        <w:t xml:space="preserve"> (italic bold numbers) and </w:t>
      </w:r>
      <w:r w:rsidRPr="000642FF">
        <w:rPr>
          <w:i/>
          <w:iCs/>
          <w:shd w:val="clear" w:color="auto" w:fill="FCFCFC"/>
        </w:rPr>
        <w:t>Paramaledivibacter</w:t>
      </w:r>
      <w:r w:rsidRPr="000642FF">
        <w:t xml:space="preserve"> (underlined numbers).</w:t>
      </w:r>
    </w:p>
    <w:p w14:paraId="4A286DCB" w14:textId="77777777" w:rsidR="0032123F" w:rsidRDefault="0032123F" w:rsidP="0032123F">
      <w:pPr>
        <w:spacing w:after="240" w:line="480" w:lineRule="auto"/>
        <w:jc w:val="both"/>
      </w:pPr>
    </w:p>
    <w:p w14:paraId="0C08CE8E" w14:textId="77777777" w:rsidR="0032123F" w:rsidRDefault="0032123F" w:rsidP="0032123F">
      <w:pPr>
        <w:spacing w:after="240" w:line="480" w:lineRule="auto"/>
        <w:jc w:val="both"/>
      </w:pPr>
      <w:r w:rsidRPr="00C368A2">
        <w:rPr>
          <w:b/>
          <w:u w:val="single"/>
        </w:rPr>
        <w:t>Supplementary Tables</w:t>
      </w:r>
      <w:r w:rsidRPr="00C368A2">
        <w:t xml:space="preserve"> are big datasets and because of their size are available as .xlsx files at</w:t>
      </w:r>
      <w:hyperlink r:id="rId4"/>
      <w:r>
        <w:t xml:space="preserve"> </w:t>
      </w:r>
      <w:hyperlink r:id="rId5" w:history="1">
        <w:r w:rsidRPr="00542C6C">
          <w:rPr>
            <w:rStyle w:val="Hyperlink"/>
          </w:rPr>
          <w:t>https://melbourne.figshare.com/projects/Linking_the_microbial_and_physicochemical_landscapes_of_the_coral_skeleton/130694</w:t>
        </w:r>
      </w:hyperlink>
      <w:r>
        <w:t xml:space="preserve">. </w:t>
      </w:r>
      <w:r w:rsidRPr="00C368A2">
        <w:t xml:space="preserve">This link is also available in the </w:t>
      </w:r>
      <w:r w:rsidRPr="00C368A2">
        <w:rPr>
          <w:b/>
          <w:u w:val="single"/>
        </w:rPr>
        <w:t>Data availability</w:t>
      </w:r>
      <w:r w:rsidRPr="00C368A2">
        <w:t xml:space="preserve"> section</w:t>
      </w:r>
      <w:r>
        <w:t>.</w:t>
      </w:r>
    </w:p>
    <w:p w14:paraId="48E8CDD7" w14:textId="77777777" w:rsidR="0032123F" w:rsidRDefault="0032123F" w:rsidP="0032123F">
      <w:pPr>
        <w:spacing w:after="240" w:line="480" w:lineRule="auto"/>
        <w:jc w:val="both"/>
      </w:pPr>
      <w:r w:rsidRPr="00C368A2">
        <w:rPr>
          <w:b/>
        </w:rPr>
        <w:t xml:space="preserve">Supplementary Table </w:t>
      </w:r>
      <w:r>
        <w:rPr>
          <w:b/>
        </w:rPr>
        <w:t>1</w:t>
      </w:r>
      <w:r w:rsidRPr="00C368A2">
        <w:rPr>
          <w:b/>
        </w:rPr>
        <w:t>.</w:t>
      </w:r>
      <w:r w:rsidRPr="00C368A2">
        <w:t xml:space="preserve"> </w:t>
      </w:r>
      <w:r w:rsidRPr="002407A4">
        <w:t xml:space="preserve">Table showing </w:t>
      </w:r>
      <w:r>
        <w:t>e</w:t>
      </w:r>
      <w:r w:rsidRPr="002407A4">
        <w:t xml:space="preserve">ukaryotic and </w:t>
      </w:r>
      <w:r>
        <w:t>bacterial</w:t>
      </w:r>
      <w:r w:rsidRPr="002407A4">
        <w:t xml:space="preserve"> phototrophic ASVs in the skeleton</w:t>
      </w:r>
      <w:r>
        <w:t>s</w:t>
      </w:r>
      <w:r w:rsidRPr="002407A4">
        <w:t xml:space="preserve"> of </w:t>
      </w:r>
      <w:r w:rsidRPr="002407A4">
        <w:rPr>
          <w:i/>
          <w:iCs/>
        </w:rPr>
        <w:t>Po. lutea</w:t>
      </w:r>
      <w:r w:rsidRPr="002407A4">
        <w:t xml:space="preserve"> and </w:t>
      </w:r>
      <w:r w:rsidRPr="002407A4">
        <w:rPr>
          <w:i/>
          <w:iCs/>
        </w:rPr>
        <w:t>Pa. australensis</w:t>
      </w:r>
      <w:r w:rsidRPr="002407A4">
        <w:t>. The table also show number of reads and taxonomical identification associated with each ASV.</w:t>
      </w:r>
    </w:p>
    <w:p w14:paraId="262D8A0C" w14:textId="77777777" w:rsidR="0032123F" w:rsidRPr="00C368A2" w:rsidRDefault="0032123F" w:rsidP="0032123F">
      <w:pPr>
        <w:spacing w:after="240" w:line="480" w:lineRule="auto"/>
        <w:jc w:val="both"/>
      </w:pPr>
      <w:r w:rsidRPr="00C368A2">
        <w:rPr>
          <w:b/>
        </w:rPr>
        <w:t xml:space="preserve">Supplementary Table </w:t>
      </w:r>
      <w:r>
        <w:rPr>
          <w:b/>
        </w:rPr>
        <w:t>2</w:t>
      </w:r>
      <w:r w:rsidRPr="00C368A2">
        <w:rPr>
          <w:b/>
        </w:rPr>
        <w:t>.</w:t>
      </w:r>
      <w:r w:rsidRPr="00C368A2">
        <w:t xml:space="preserve"> </w:t>
      </w:r>
      <w:r w:rsidRPr="002407A4">
        <w:t>The table show the O</w:t>
      </w:r>
      <w:r w:rsidRPr="002407A4">
        <w:rPr>
          <w:vertAlign w:val="subscript"/>
        </w:rPr>
        <w:t>2</w:t>
      </w:r>
      <w:r w:rsidRPr="002407A4">
        <w:t xml:space="preserve"> and pH gradients measured inside the skeleton</w:t>
      </w:r>
      <w:r>
        <w:t>s</w:t>
      </w:r>
      <w:r w:rsidRPr="002407A4">
        <w:t xml:space="preserve"> of </w:t>
      </w:r>
      <w:r w:rsidRPr="002407A4">
        <w:rPr>
          <w:i/>
          <w:iCs/>
        </w:rPr>
        <w:t>Po. lutea</w:t>
      </w:r>
      <w:r w:rsidRPr="002407A4">
        <w:t xml:space="preserve"> and </w:t>
      </w:r>
      <w:r w:rsidRPr="002407A4">
        <w:rPr>
          <w:i/>
          <w:iCs/>
        </w:rPr>
        <w:t>Pa. australensis</w:t>
      </w:r>
      <w:r w:rsidRPr="002407A4">
        <w:t xml:space="preserve"> during exposure</w:t>
      </w:r>
      <w:r>
        <w:t xml:space="preserve"> to</w:t>
      </w:r>
      <w:r w:rsidRPr="002407A4">
        <w:t xml:space="preserve"> light</w:t>
      </w:r>
      <w:r>
        <w:t xml:space="preserve"> profiles at</w:t>
      </w:r>
      <w:r w:rsidRPr="002407A4">
        <w:t xml:space="preserve"> intensities of ~8, ~2</w:t>
      </w:r>
      <w:r>
        <w:t>1</w:t>
      </w:r>
      <w:r w:rsidRPr="002407A4">
        <w:t xml:space="preserve"> and ~50 </w:t>
      </w:r>
      <w:r w:rsidRPr="00237DE2">
        <w:t>µ</w:t>
      </w:r>
      <w:r w:rsidRPr="002407A4">
        <w:t>mol photons m</w:t>
      </w:r>
      <w:r w:rsidRPr="002407A4">
        <w:rPr>
          <w:vertAlign w:val="superscript"/>
        </w:rPr>
        <w:t>-2</w:t>
      </w:r>
      <w:r w:rsidRPr="002407A4">
        <w:t xml:space="preserve"> s</w:t>
      </w:r>
      <w:r w:rsidRPr="002407A4">
        <w:rPr>
          <w:vertAlign w:val="superscript"/>
        </w:rPr>
        <w:t>-1</w:t>
      </w:r>
      <w:r w:rsidRPr="002407A4">
        <w:t>.</w:t>
      </w:r>
    </w:p>
    <w:p w14:paraId="3C15B923" w14:textId="77777777" w:rsidR="0032123F" w:rsidRPr="00C368A2" w:rsidRDefault="0032123F" w:rsidP="0032123F">
      <w:pPr>
        <w:spacing w:after="240" w:line="480" w:lineRule="auto"/>
        <w:jc w:val="both"/>
      </w:pPr>
      <w:r w:rsidRPr="00C368A2">
        <w:rPr>
          <w:b/>
        </w:rPr>
        <w:lastRenderedPageBreak/>
        <w:t xml:space="preserve">Supplementary Table </w:t>
      </w:r>
      <w:r>
        <w:rPr>
          <w:b/>
        </w:rPr>
        <w:t>3</w:t>
      </w:r>
      <w:r w:rsidRPr="00C368A2">
        <w:rPr>
          <w:b/>
        </w:rPr>
        <w:t>.</w:t>
      </w:r>
      <w:r w:rsidRPr="00C368A2">
        <w:t xml:space="preserve"> </w:t>
      </w:r>
      <w:r w:rsidRPr="00D039FD">
        <w:t xml:space="preserve">Results of PERMANOVA </w:t>
      </w:r>
      <w:r>
        <w:t>correlating</w:t>
      </w:r>
      <w:r w:rsidRPr="00D039FD">
        <w:t xml:space="preserve"> bacterial community </w:t>
      </w:r>
      <w:r w:rsidRPr="000642FF">
        <w:t>β-diversity</w:t>
      </w:r>
      <w:r w:rsidRPr="00D039FD">
        <w:t xml:space="preserve"> and O</w:t>
      </w:r>
      <w:r w:rsidRPr="003D3BAF">
        <w:rPr>
          <w:vertAlign w:val="subscript"/>
        </w:rPr>
        <w:t>2</w:t>
      </w:r>
      <w:r w:rsidRPr="00D039FD">
        <w:t xml:space="preserve"> and pH gradients.</w:t>
      </w:r>
    </w:p>
    <w:p w14:paraId="286C5832" w14:textId="77777777" w:rsidR="0032123F" w:rsidRPr="00C368A2" w:rsidRDefault="0032123F" w:rsidP="0032123F">
      <w:pPr>
        <w:spacing w:after="240" w:line="480" w:lineRule="auto"/>
        <w:jc w:val="both"/>
      </w:pPr>
      <w:r w:rsidRPr="00C368A2">
        <w:rPr>
          <w:b/>
        </w:rPr>
        <w:t xml:space="preserve">Supplementary Table </w:t>
      </w:r>
      <w:r>
        <w:rPr>
          <w:b/>
        </w:rPr>
        <w:t>4</w:t>
      </w:r>
      <w:r w:rsidRPr="00C368A2">
        <w:rPr>
          <w:b/>
        </w:rPr>
        <w:t>.</w:t>
      </w:r>
      <w:r w:rsidRPr="00C368A2">
        <w:t xml:space="preserve"> </w:t>
      </w:r>
      <w:r w:rsidRPr="002A5814">
        <w:t>List of bacterial ASVs that correlated with O</w:t>
      </w:r>
      <w:r w:rsidRPr="002A5814">
        <w:rPr>
          <w:vertAlign w:val="subscript"/>
        </w:rPr>
        <w:t>2</w:t>
      </w:r>
      <w:r w:rsidRPr="002A5814">
        <w:t xml:space="preserve"> and pH gradients in the CCA biplot of </w:t>
      </w:r>
      <w:r w:rsidRPr="002A5814">
        <w:rPr>
          <w:i/>
          <w:iCs/>
        </w:rPr>
        <w:t>Po. lutea</w:t>
      </w:r>
      <w:r>
        <w:t xml:space="preserve"> (</w:t>
      </w:r>
      <w:r w:rsidRPr="002A5814">
        <w:t xml:space="preserve">Supp. Fig. </w:t>
      </w:r>
      <w:r>
        <w:t>7)</w:t>
      </w:r>
      <w:r w:rsidRPr="002A5814">
        <w:t xml:space="preserve">. ASV numbers in this table match the ASV numbers </w:t>
      </w:r>
      <w:r>
        <w:t>in</w:t>
      </w:r>
      <w:r w:rsidRPr="002A5814">
        <w:t xml:space="preserve"> Supp. Fig. </w:t>
      </w:r>
      <w:r>
        <w:t>7</w:t>
      </w:r>
      <w:r w:rsidRPr="002A5814">
        <w:t>.</w:t>
      </w:r>
    </w:p>
    <w:p w14:paraId="5F803FE4" w14:textId="77777777" w:rsidR="0032123F" w:rsidRPr="00C368A2" w:rsidRDefault="0032123F" w:rsidP="0032123F">
      <w:pPr>
        <w:spacing w:after="240" w:line="480" w:lineRule="auto"/>
        <w:jc w:val="both"/>
      </w:pPr>
      <w:r w:rsidRPr="00C368A2">
        <w:rPr>
          <w:b/>
        </w:rPr>
        <w:t xml:space="preserve">Supplementary Table </w:t>
      </w:r>
      <w:r>
        <w:rPr>
          <w:b/>
        </w:rPr>
        <w:t>5</w:t>
      </w:r>
      <w:r w:rsidRPr="00C368A2">
        <w:rPr>
          <w:b/>
        </w:rPr>
        <w:t>.</w:t>
      </w:r>
      <w:r w:rsidRPr="00C368A2">
        <w:t xml:space="preserve"> </w:t>
      </w:r>
      <w:r w:rsidRPr="002A5814">
        <w:t>List of bacterial ASVs that correlated with O</w:t>
      </w:r>
      <w:r w:rsidRPr="002A5814">
        <w:rPr>
          <w:vertAlign w:val="subscript"/>
        </w:rPr>
        <w:t>2</w:t>
      </w:r>
      <w:r w:rsidRPr="002A5814">
        <w:t xml:space="preserve"> and pH gradients in the CCA biplot of </w:t>
      </w:r>
      <w:r w:rsidRPr="002407A4">
        <w:rPr>
          <w:i/>
          <w:iCs/>
        </w:rPr>
        <w:t>Pa. australensis</w:t>
      </w:r>
      <w:r w:rsidRPr="002407A4">
        <w:t xml:space="preserve"> </w:t>
      </w:r>
      <w:r>
        <w:t>(</w:t>
      </w:r>
      <w:r w:rsidRPr="002A5814">
        <w:t xml:space="preserve">Supp. Fig. </w:t>
      </w:r>
      <w:r>
        <w:t>8)</w:t>
      </w:r>
      <w:r w:rsidRPr="002A5814">
        <w:t xml:space="preserve">. ASV numbers in this table match the ASV numbers </w:t>
      </w:r>
      <w:r>
        <w:t>in</w:t>
      </w:r>
      <w:r w:rsidRPr="002A5814">
        <w:t xml:space="preserve"> Supp. Fig. </w:t>
      </w:r>
      <w:r>
        <w:t>8</w:t>
      </w:r>
      <w:r w:rsidRPr="002A5814">
        <w:t>.</w:t>
      </w:r>
    </w:p>
    <w:p w14:paraId="3285EA4D" w14:textId="77777777" w:rsidR="0032123F" w:rsidRDefault="0032123F">
      <w:bookmarkStart w:id="0" w:name="_GoBack"/>
      <w:bookmarkEnd w:id="0"/>
    </w:p>
    <w:sectPr w:rsidR="0032123F" w:rsidSect="00BE09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u">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23F"/>
    <w:rsid w:val="0032123F"/>
    <w:rsid w:val="00BE0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6592C"/>
  <w15:chartTrackingRefBased/>
  <w15:docId w15:val="{6DFB2F77-0D4B-E34F-B271-843221211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123F"/>
    <w:rPr>
      <w:rFonts w:ascii="Times New Roman" w:eastAsia="Times New Roman" w:hAnsi="Times New Roman" w:cs="Times New Roman"/>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12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elbourne.figshare.com/projects/Linking_the_microbial_and_physicochemical_landscapes_of_the_coral_skeleton/130694" TargetMode="External"/><Relationship Id="rId4" Type="http://schemas.openxmlformats.org/officeDocument/2006/relationships/hyperlink" Target="https://figshare.com/search?q=Host+traits+and+evolution+shape+key+coral-bacterial+symbio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1262</Words>
  <Characters>7200</Characters>
  <Application>Microsoft Office Word</Application>
  <DocSecurity>0</DocSecurity>
  <Lines>60</Lines>
  <Paragraphs>16</Paragraphs>
  <ScaleCrop>false</ScaleCrop>
  <Company/>
  <LinksUpToDate>false</LinksUpToDate>
  <CharactersWithSpaces>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2022-06-08T15:21:00Z</dcterms:created>
  <dcterms:modified xsi:type="dcterms:W3CDTF">2022-06-08T15:21:00Z</dcterms:modified>
</cp:coreProperties>
</file>