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widowControl w:val="0"/>
        <w:spacing w:line="240" w:lineRule="auto"/>
        <w:ind w:left="384.00000000000006"/>
        <w:jc w:val="center"/>
        <w:rPr>
          <w:rFonts w:ascii="Times New Roman" w:cs="Times New Roman" w:eastAsia="Times New Roman" w:hAnsi="Times New Roman"/>
          <w:b w:val="1"/>
          <w:sz w:val="38"/>
          <w:szCs w:val="3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8"/>
          <w:szCs w:val="38"/>
          <w:rtl w:val="0"/>
        </w:rPr>
        <w:t xml:space="preserve">Supplementary Materials</w:t>
      </w:r>
    </w:p>
    <w:p w:rsidR="00000000" w:rsidDel="00000000" w:rsidP="00000000" w:rsidRDefault="00000000" w:rsidRPr="00000000" w14:paraId="00000002">
      <w:pPr>
        <w:pageBreakBefore w:val="0"/>
        <w:widowControl w:val="0"/>
        <w:spacing w:line="240" w:lineRule="auto"/>
        <w:ind w:left="384.00000000000006"/>
        <w:jc w:val="center"/>
        <w:rPr>
          <w:rFonts w:ascii="Times New Roman" w:cs="Times New Roman" w:eastAsia="Times New Roman" w:hAnsi="Times New Roman"/>
          <w:b w:val="1"/>
          <w:sz w:val="38"/>
          <w:szCs w:val="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widowControl w:val="0"/>
        <w:spacing w:line="240" w:lineRule="auto"/>
        <w:ind w:left="384.00000000000006"/>
        <w:jc w:val="center"/>
        <w:rPr>
          <w:rFonts w:ascii="Times New Roman" w:cs="Times New Roman" w:eastAsia="Times New Roman" w:hAnsi="Times New Roman"/>
          <w:b w:val="1"/>
          <w:sz w:val="38"/>
          <w:szCs w:val="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widowControl w:val="0"/>
        <w:spacing w:line="240" w:lineRule="auto"/>
        <w:ind w:left="384.00000000000006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widowControl w:val="0"/>
        <w:spacing w:line="240" w:lineRule="auto"/>
        <w:ind w:left="384.00000000000006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Supplementary Table 1: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ICD-9 and ICD-10 codes used to determine the individuals femur fracture and major osteoporotic fracture (includes all regions)</w:t>
      </w:r>
    </w:p>
    <w:p w:rsidR="00000000" w:rsidDel="00000000" w:rsidP="00000000" w:rsidRDefault="00000000" w:rsidRPr="00000000" w14:paraId="00000006">
      <w:pPr>
        <w:pageBreakBefore w:val="0"/>
        <w:widowControl w:val="0"/>
        <w:spacing w:line="240" w:lineRule="auto"/>
        <w:ind w:left="384.00000000000006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915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55"/>
        <w:gridCol w:w="2340"/>
        <w:gridCol w:w="3555"/>
        <w:tblGridChange w:id="0">
          <w:tblGrid>
            <w:gridCol w:w="3255"/>
            <w:gridCol w:w="2340"/>
            <w:gridCol w:w="3555"/>
          </w:tblGrid>
        </w:tblGridChange>
      </w:tblGrid>
      <w:tr>
        <w:trPr>
          <w:cantSplit w:val="0"/>
          <w:trHeight w:val="600" w:hRule="atLeast"/>
          <w:tblHeader w:val="0"/>
        </w:trPr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ICD-9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ICD-10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Femur Fractures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ageBreakBefore w:val="0"/>
              <w:rPr>
                <w:rFonts w:ascii="Times New Roman" w:cs="Times New Roman" w:eastAsia="Times New Roman" w:hAnsi="Times New Roman"/>
                <w:sz w:val="30"/>
                <w:szCs w:val="3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0"/>
                <w:szCs w:val="30"/>
                <w:rtl w:val="0"/>
              </w:rPr>
              <w:t xml:space="preserve">733.14*, 733.15*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30"/>
                <w:szCs w:val="30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pageBreakBefore w:val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M80.0</w:t>
              </w:r>
            </w:hyperlink>
            <w:r w:rsidDel="00000000" w:rsidR="00000000" w:rsidRPr="00000000">
              <w:rPr>
                <w:sz w:val="28"/>
                <w:szCs w:val="28"/>
                <w:rtl w:val="0"/>
              </w:rPr>
              <w:t xml:space="preserve">*,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M84.45*, </w:t>
              </w:r>
            </w:hyperlink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rtl w:val="0"/>
                </w:rPr>
                <w:t xml:space="preserve">M84.65*, </w:t>
              </w:r>
            </w:hyperlink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M84.75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highlight w:val="white"/>
                <w:rtl w:val="0"/>
              </w:rPr>
              <w:t xml:space="preserve">*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Spine Fractures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0"/>
                <w:szCs w:val="30"/>
                <w:rtl w:val="0"/>
              </w:rPr>
              <w:t xml:space="preserve">733.13*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M80.08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*</w:t>
            </w:r>
          </w:p>
        </w:tc>
      </w:tr>
      <w:tr>
        <w:trPr>
          <w:cantSplit w:val="0"/>
          <w:tblHeader w:val="0"/>
        </w:trPr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Forearm Fractures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ageBreakBefore w:val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0"/>
                <w:szCs w:val="30"/>
                <w:rtl w:val="0"/>
              </w:rPr>
              <w:t xml:space="preserve">733.12*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M80.03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highlight w:val="white"/>
                <w:rtl w:val="0"/>
              </w:rPr>
              <w:t xml:space="preserve">*, </w:t>
            </w: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M84.43</w:t>
              </w:r>
            </w:hyperlink>
            <w:r w:rsidDel="00000000" w:rsidR="00000000" w:rsidRPr="00000000">
              <w:rPr>
                <w:sz w:val="28"/>
                <w:szCs w:val="28"/>
                <w:rtl w:val="0"/>
              </w:rPr>
              <w:t xml:space="preserve">*, </w:t>
            </w: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M84.63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Shoulder Fractures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0"/>
                <w:szCs w:val="30"/>
                <w:rtl w:val="0"/>
              </w:rPr>
              <w:t xml:space="preserve">733.11*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M80.01*, </w:t>
              </w:r>
            </w:hyperlink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M84.41*,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highlight w:val="white"/>
                <w:rtl w:val="0"/>
              </w:rPr>
              <w:t xml:space="preserve">M84.42*, </w:t>
            </w:r>
            <w:hyperlink r:id="rId16">
              <w:r w:rsidDel="00000000" w:rsidR="00000000" w:rsidRPr="00000000">
                <w:rPr>
                  <w:rFonts w:ascii="Times New Roman" w:cs="Times New Roman" w:eastAsia="Times New Roman" w:hAnsi="Times New Roman"/>
                  <w:sz w:val="28"/>
                  <w:szCs w:val="28"/>
                  <w:highlight w:val="white"/>
                  <w:rtl w:val="0"/>
                </w:rPr>
                <w:t xml:space="preserve">M84.61*, 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highlight w:val="white"/>
                <w:rtl w:val="0"/>
              </w:rPr>
              <w:t xml:space="preserve">M84.62*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Supplementary Table 2: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Tuned hyperparameters for each model</w:t>
      </w:r>
    </w:p>
    <w:p w:rsidR="00000000" w:rsidDel="00000000" w:rsidP="00000000" w:rsidRDefault="00000000" w:rsidRPr="00000000" w14:paraId="0000001C">
      <w:pPr>
        <w:pageBreakBefore w:val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95.0" w:type="dxa"/>
        <w:jc w:val="left"/>
        <w:tblInd w:w="140.0" w:type="pct"/>
        <w:tblBorders>
          <w:top w:color="9e9e9e" w:space="0" w:sz="8" w:val="single"/>
          <w:left w:color="9e9e9e" w:space="0" w:sz="8" w:val="single"/>
          <w:bottom w:color="9e9e9e" w:space="0" w:sz="8" w:val="single"/>
          <w:right w:color="9e9e9e" w:space="0" w:sz="8" w:val="single"/>
          <w:insideH w:color="9e9e9e" w:space="0" w:sz="8" w:val="single"/>
          <w:insideV w:color="9e9e9e" w:space="0" w:sz="8" w:val="single"/>
        </w:tblBorders>
        <w:tblLayout w:type="fixed"/>
        <w:tblLook w:val="0600"/>
      </w:tblPr>
      <w:tblGrid>
        <w:gridCol w:w="1410"/>
        <w:gridCol w:w="1275"/>
        <w:gridCol w:w="1275"/>
        <w:gridCol w:w="1575"/>
        <w:gridCol w:w="1350"/>
        <w:gridCol w:w="1035"/>
        <w:gridCol w:w="1575"/>
        <w:tblGridChange w:id="0">
          <w:tblGrid>
            <w:gridCol w:w="1410"/>
            <w:gridCol w:w="1275"/>
            <w:gridCol w:w="1275"/>
            <w:gridCol w:w="1575"/>
            <w:gridCol w:w="1350"/>
            <w:gridCol w:w="1035"/>
            <w:gridCol w:w="1575"/>
          </w:tblGrid>
        </w:tblGridChange>
      </w:tblGrid>
      <w:tr>
        <w:trPr>
          <w:cantSplit w:val="0"/>
          <w:trHeight w:val="1040" w:hRule="atLeast"/>
          <w:tblHeader w:val="0"/>
        </w:trPr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Prediction Window Length</w:t>
            </w:r>
          </w:p>
        </w:tc>
        <w:tc>
          <w:tcPr>
            <w:tcBorders>
              <w:lef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Maximum Tree Depth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L2 Regularization (Lambda)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L1 Regularization (Alpha)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Scale Positive Weight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Number of Boosting Rounds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restart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Major Osteoporotic Fracture Models</w:t>
            </w:r>
          </w:p>
        </w:tc>
        <w:tc>
          <w:tcPr>
            <w:tcBorders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lef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50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0.1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100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lef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1.25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100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lef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300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1.5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100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restart"/>
            <w:tcMar>
              <w:top w:w="140.0" w:type="dxa"/>
              <w:left w:w="140.0" w:type="dxa"/>
              <w:bottom w:w="140.0" w:type="dxa"/>
              <w:right w:w="1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Femur Fracture Models</w:t>
            </w:r>
          </w:p>
        </w:tc>
        <w:tc>
          <w:tcPr>
            <w:tcBorders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lef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300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1.25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100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lef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0.1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300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vMerge w:val="continue"/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ageBreakBefore w:val="0"/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left w:color="000000" w:space="0" w:sz="16" w:val="single"/>
            </w:tcBorders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1.25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40.0" w:type="dxa"/>
              <w:left w:w="140.0" w:type="dxa"/>
              <w:bottom w:w="140.0" w:type="dxa"/>
              <w:right w:w="14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ageBreakBefore w:val="0"/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100</w:t>
            </w:r>
          </w:p>
        </w:tc>
      </w:tr>
    </w:tbl>
    <w:p w:rsidR="00000000" w:rsidDel="00000000" w:rsidP="00000000" w:rsidRDefault="00000000" w:rsidRPr="00000000" w14:paraId="0000004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Supplementary Figure 1: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Calibration plots</w:t>
      </w:r>
    </w:p>
    <w:p w:rsidR="00000000" w:rsidDel="00000000" w:rsidP="00000000" w:rsidRDefault="00000000" w:rsidRPr="00000000" w14:paraId="0000005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114300" distT="114300" distL="114300" distR="114300">
            <wp:extent cx="3176588" cy="3176588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76588" cy="3176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</w:rPr>
        <w:drawing>
          <wp:inline distB="114300" distT="114300" distL="114300" distR="114300">
            <wp:extent cx="3281363" cy="29718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81363" cy="2971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/>
    <w:rPr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pPr/>
      <w:rPr/>
      <w:tcPr/>
    </w:tblStylePr>
    <w:tblStylePr w:type="band1Vert">
      <w:pPr/>
      <w:rPr/>
      <w:tcPr/>
    </w:tblStylePr>
    <w:tblStylePr w:type="band2Horz">
      <w:pPr/>
      <w:rPr/>
      <w:tcPr/>
    </w:tblStylePr>
    <w:tblStylePr w:type="band2Vert">
      <w:pPr/>
      <w:rPr/>
      <w:tcPr/>
    </w:tblStylePr>
    <w:tblStylePr w:type="firstCol">
      <w:pPr/>
      <w:rPr/>
      <w:tcPr/>
    </w:tblStylePr>
    <w:tblStylePr w:type="firstRow">
      <w:pPr/>
      <w:rPr/>
      <w:tcPr/>
    </w:tblStylePr>
    <w:tblStylePr w:type="lastCol">
      <w:pPr/>
      <w:rPr/>
      <w:tcPr/>
    </w:tblStylePr>
    <w:tblStylePr w:type="lastRow">
      <w:pPr/>
      <w:rPr/>
      <w:tcPr/>
    </w:tblStylePr>
    <w:tblStylePr w:type="neCell">
      <w:pPr/>
      <w:rPr/>
      <w:tcPr/>
    </w:tblStylePr>
    <w:tblStylePr w:type="nwCell">
      <w:pPr/>
      <w:rPr/>
      <w:tcPr/>
    </w:tblStylePr>
    <w:tblStylePr w:type="seCell">
      <w:pPr/>
      <w:rPr/>
      <w:tcPr/>
    </w:tblStylePr>
    <w:tblStylePr w:type="swCell">
      <w:pPr/>
      <w:rPr/>
      <w:tcPr/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icd.codes/icd10cm/M8003" TargetMode="External"/><Relationship Id="rId10" Type="http://schemas.openxmlformats.org/officeDocument/2006/relationships/hyperlink" Target="https://icd.codes/icd10cm/M8008" TargetMode="External"/><Relationship Id="rId13" Type="http://schemas.openxmlformats.org/officeDocument/2006/relationships/hyperlink" Target="https://icd.codes/icd10cm/M8463" TargetMode="External"/><Relationship Id="rId12" Type="http://schemas.openxmlformats.org/officeDocument/2006/relationships/hyperlink" Target="https://icd.codes/icd10cm/M8443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icd10data.com/ICD10CM/Codes/M00-M99/M80-M85/M84/M84.7-/M84.75" TargetMode="External"/><Relationship Id="rId15" Type="http://schemas.openxmlformats.org/officeDocument/2006/relationships/hyperlink" Target="https://icd.codes/icd10cm/M8441" TargetMode="External"/><Relationship Id="rId14" Type="http://schemas.openxmlformats.org/officeDocument/2006/relationships/hyperlink" Target="https://icd.codes/icd10cm/M8001" TargetMode="External"/><Relationship Id="rId17" Type="http://schemas.openxmlformats.org/officeDocument/2006/relationships/image" Target="media/image1.png"/><Relationship Id="rId16" Type="http://schemas.openxmlformats.org/officeDocument/2006/relationships/hyperlink" Target="https://icd.codes/icd10cm/M8461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icd10data.com/ICD10CM/Codes/M00-M99/M80-M85/M80-/M80.05" TargetMode="External"/><Relationship Id="rId18" Type="http://schemas.openxmlformats.org/officeDocument/2006/relationships/image" Target="media/image2.png"/><Relationship Id="rId7" Type="http://schemas.openxmlformats.org/officeDocument/2006/relationships/hyperlink" Target="https://icd.codes/icd10cm/M8445" TargetMode="External"/><Relationship Id="rId8" Type="http://schemas.openxmlformats.org/officeDocument/2006/relationships/hyperlink" Target="https://icd.codes/icd10cm/M846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