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7085" w:rsidRPr="006A7085" w:rsidRDefault="006A7085" w:rsidP="006A7085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6A7085">
        <w:rPr>
          <w:b/>
          <w:sz w:val="28"/>
          <w:szCs w:val="28"/>
        </w:rPr>
        <w:t>Supplementary Figures</w:t>
      </w:r>
      <w:r w:rsidRPr="006A7085">
        <w:rPr>
          <w:b/>
          <w:sz w:val="28"/>
          <w:szCs w:val="28"/>
        </w:rPr>
        <w:br w:type="page"/>
      </w:r>
    </w:p>
    <w:p w:rsidR="00030979" w:rsidRDefault="00725D8F" w:rsidP="00725D8F">
      <w:pPr>
        <w:jc w:val="center"/>
      </w:pPr>
      <w:r>
        <w:rPr>
          <w:noProof/>
        </w:rPr>
        <w:lastRenderedPageBreak/>
        <w:drawing>
          <wp:inline distT="0" distB="0" distL="0" distR="0" wp14:anchorId="6345A67F">
            <wp:extent cx="4995446" cy="42292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5489" cy="42377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25D8F" w:rsidRDefault="00725D8F" w:rsidP="00725D8F">
      <w:pPr>
        <w:jc w:val="center"/>
      </w:pPr>
    </w:p>
    <w:p w:rsidR="00725D8F" w:rsidRDefault="00725D8F" w:rsidP="00725D8F">
      <w:pPr>
        <w:pStyle w:val="NormalWeb"/>
        <w:spacing w:before="0" w:beforeAutospacing="0" w:after="0" w:afterAutospacing="0"/>
        <w:jc w:val="both"/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</w:rPr>
        <w:t>Supplementary figure 1</w:t>
      </w:r>
    </w:p>
    <w:p w:rsidR="00725D8F" w:rsidRDefault="00725D8F" w:rsidP="00725D8F">
      <w:pPr>
        <w:pStyle w:val="NormalWeb"/>
        <w:spacing w:before="0" w:beforeAutospacing="0" w:after="0" w:afterAutospacing="0"/>
        <w:jc w:val="both"/>
        <w:rPr>
          <w:rFonts w:asciiTheme="minorHAnsi" w:eastAsiaTheme="minorEastAsia" w:hAnsi="Calibri" w:cstheme="minorBidi"/>
          <w:color w:val="000000" w:themeColor="text1"/>
          <w:kern w:val="24"/>
          <w:lang w:val="nl-BE"/>
        </w:rPr>
      </w:pPr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Representative western blot and statistical analysis of Bcl-2 (A),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</w:rPr>
        <w:t>Bcl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-XL (B)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</w:rPr>
        <w:t>Bim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 (C) levels normalized to untreated in response to vehicle (dark blue) and 10 µM of BAPTA-AM (red) after 2, 4, 6, 8, and 24 hours. Vinculin was included as a loading control. Data are represented as the average ± S.D. </w:t>
      </w:r>
      <w:proofErr w:type="gramStart"/>
      <w:r>
        <w:rPr>
          <w:rFonts w:asciiTheme="minorHAnsi" w:eastAsiaTheme="minorEastAsia" w:hAnsi="Calibri" w:cstheme="minorBidi"/>
          <w:color w:val="000000" w:themeColor="text1"/>
          <w:kern w:val="24"/>
        </w:rPr>
        <w:t>Statistical</w:t>
      </w:r>
      <w:proofErr w:type="gramEnd"/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 significant differences were determined with a paired two-tailed Student’s t-test.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lang w:val="nl-BE"/>
        </w:rPr>
        <w:t>Differences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lang w:val="nl-BE"/>
        </w:rPr>
        <w:t xml:space="preserve">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lang w:val="nl-BE"/>
        </w:rPr>
        <w:t>were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lang w:val="nl-BE"/>
        </w:rPr>
        <w:t xml:space="preserve">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lang w:val="nl-BE"/>
        </w:rPr>
        <w:t>considered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lang w:val="nl-BE"/>
        </w:rPr>
        <w:t xml:space="preserve"> significant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lang w:val="nl-BE"/>
        </w:rPr>
        <w:t>when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lang w:val="nl-BE"/>
        </w:rPr>
        <w:t xml:space="preserve"> p &lt; 0.05. (** p &lt; 0.01; *** p &lt; 0.001). </w:t>
      </w:r>
    </w:p>
    <w:p w:rsidR="00725D8F" w:rsidRDefault="00725D8F">
      <w:pPr>
        <w:rPr>
          <w:rFonts w:eastAsiaTheme="minorEastAsia" w:hAnsi="Calibri"/>
          <w:color w:val="000000" w:themeColor="text1"/>
          <w:kern w:val="24"/>
          <w:sz w:val="24"/>
          <w:szCs w:val="24"/>
          <w:lang w:val="nl-BE"/>
        </w:rPr>
      </w:pPr>
      <w:r>
        <w:rPr>
          <w:rFonts w:eastAsiaTheme="minorEastAsia" w:hAnsi="Calibri"/>
          <w:color w:val="000000" w:themeColor="text1"/>
          <w:kern w:val="24"/>
          <w:lang w:val="nl-BE"/>
        </w:rPr>
        <w:br w:type="page"/>
      </w:r>
    </w:p>
    <w:p w:rsidR="00725D8F" w:rsidRDefault="00725D8F" w:rsidP="00725D8F">
      <w:pPr>
        <w:pStyle w:val="NormalWeb"/>
        <w:spacing w:before="0" w:beforeAutospacing="0" w:after="0" w:afterAutospacing="0"/>
        <w:jc w:val="both"/>
      </w:pPr>
    </w:p>
    <w:p w:rsidR="00725D8F" w:rsidRDefault="00725D8F" w:rsidP="00725D8F">
      <w:pPr>
        <w:jc w:val="center"/>
      </w:pPr>
      <w:r>
        <w:rPr>
          <w:noProof/>
        </w:rPr>
        <w:drawing>
          <wp:inline distT="0" distB="0" distL="0" distR="0" wp14:anchorId="07636E2B">
            <wp:extent cx="5940706" cy="2072497"/>
            <wp:effectExtent l="0" t="0" r="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708" cy="20829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25D8F" w:rsidRDefault="00725D8F" w:rsidP="00725D8F">
      <w:pPr>
        <w:pStyle w:val="NormalWeb"/>
        <w:spacing w:before="0" w:beforeAutospacing="0" w:after="0" w:afterAutospacing="0"/>
      </w:pPr>
      <w:r w:rsidRPr="00725D8F">
        <w:rPr>
          <w:rFonts w:asciiTheme="minorHAnsi" w:eastAsiaTheme="minorEastAsia" w:hAnsi="Calibri" w:cstheme="minorBidi"/>
          <w:b/>
          <w:bCs/>
          <w:color w:val="000000" w:themeColor="text1"/>
          <w:kern w:val="24"/>
        </w:rPr>
        <w:t>Supplementary figure 2</w:t>
      </w:r>
    </w:p>
    <w:p w:rsidR="00725D8F" w:rsidRDefault="00725D8F" w:rsidP="00725D8F">
      <w:pPr>
        <w:pStyle w:val="NormalWeb"/>
        <w:spacing w:before="0" w:beforeAutospacing="0" w:after="0" w:afterAutospacing="0"/>
        <w:jc w:val="both"/>
        <w:rPr>
          <w:rFonts w:asciiTheme="minorHAnsi" w:eastAsiaTheme="minorEastAsia" w:hAnsi="Calibri" w:cstheme="minorBidi"/>
          <w:color w:val="000000" w:themeColor="text1"/>
          <w:kern w:val="24"/>
        </w:rPr>
      </w:pPr>
      <w:r w:rsidRPr="00725D8F">
        <w:rPr>
          <w:rFonts w:asciiTheme="minorHAnsi" w:eastAsiaTheme="minorEastAsia" w:hAnsi="Calibri" w:cstheme="minorBidi"/>
          <w:color w:val="000000" w:themeColor="text1"/>
          <w:kern w:val="24"/>
        </w:rPr>
        <w:t>(A)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 Quantitative analysis of apoptosis in OCI-LY-1 in response to 6 h treatment with vehicle (dark blue), 10 µM of TF-BAPTA-AM (yellow), DF-BAPTA-AM (orange), BAPTA-AM (red) and DM-BAPTA-AM (brown) and co-treatment for 6 h with 10 µM ZVAD-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</w:rPr>
        <w:t>OMe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</w:rPr>
        <w:t>-FMK. Cells were stained with annexin V-FITC and 7-AAD and the apoptotic fraction was identified as annexin V positive cells. Data are represented as the average ± S.D.; N = 5. Statistically significant differences were determined with a paired two-tailed Student’s t-test. Differences were considered significant when p &lt; 0.05. (** p &lt; 0.01; *** p &lt; 0.001).</w:t>
      </w:r>
      <w:r w:rsidRPr="00725D8F">
        <w:rPr>
          <w:rFonts w:asciiTheme="minorHAnsi" w:eastAsiaTheme="minorEastAsia" w:hAnsi="Calibri" w:cstheme="minorBidi"/>
          <w:color w:val="000000" w:themeColor="text1"/>
          <w:kern w:val="24"/>
        </w:rPr>
        <w:t xml:space="preserve"> 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(B) Statistical analysis of PARP cleavage/total PARP protein levels normalized to untreated in response to vehicle (dark blue), 10 µM of EGTA-AM (light blue), TF-BAPTA-AM (yellow), DF-BAPTA-AM (orange), BAPTA-AM (red) and DM-BAPTA-AM (brown). </w:t>
      </w:r>
      <w:r>
        <w:rPr>
          <w:rFonts w:asciiTheme="minorHAnsi" w:eastAsiaTheme="minorEastAsia" w:hAnsi="Calibri" w:cstheme="minorBidi"/>
          <w:color w:val="000000" w:themeColor="text1"/>
          <w:kern w:val="24"/>
          <w:lang w:val="el-GR"/>
        </w:rPr>
        <w:t>Β</w:t>
      </w:r>
      <w:r w:rsidRPr="00725D8F">
        <w:rPr>
          <w:rFonts w:asciiTheme="minorHAnsi" w:eastAsiaTheme="minorEastAsia" w:hAnsi="Calibri" w:cstheme="minorBidi"/>
          <w:color w:val="000000" w:themeColor="text1"/>
          <w:kern w:val="24"/>
        </w:rPr>
        <w:t xml:space="preserve"> 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actin was used as a loading control. Data are represented as the average ± S.D.; N = 3. Statistically significant differences were determined with a one-way ANOVA. Differences were considered significant when p &lt; 0.05. (** p &lt; 0.01; *** p &lt; 0.001).</w:t>
      </w:r>
    </w:p>
    <w:p w:rsidR="00725D8F" w:rsidRDefault="00725D8F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725D8F" w:rsidRDefault="00725D8F" w:rsidP="00725D8F">
      <w:pPr>
        <w:pStyle w:val="NormalWeb"/>
        <w:spacing w:before="0" w:beforeAutospacing="0" w:after="0" w:afterAutospacing="0"/>
        <w:jc w:val="center"/>
      </w:pPr>
      <w:r>
        <w:rPr>
          <w:noProof/>
        </w:rPr>
        <w:lastRenderedPageBreak/>
        <w:drawing>
          <wp:inline distT="0" distB="0" distL="0" distR="0" wp14:anchorId="6BD2D400">
            <wp:extent cx="3956685" cy="313372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685" cy="3133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25D8F" w:rsidRDefault="00725D8F" w:rsidP="00725D8F">
      <w:pPr>
        <w:pStyle w:val="NormalWeb"/>
        <w:spacing w:before="0" w:beforeAutospacing="0" w:after="0" w:afterAutospacing="0"/>
        <w:jc w:val="center"/>
      </w:pPr>
    </w:p>
    <w:p w:rsidR="00725D8F" w:rsidRDefault="00725D8F" w:rsidP="00725D8F">
      <w:pPr>
        <w:pStyle w:val="NormalWeb"/>
        <w:spacing w:before="0" w:beforeAutospacing="0" w:after="0" w:afterAutospacing="0"/>
        <w:jc w:val="both"/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</w:rPr>
        <w:t>Supplementary figure 3</w:t>
      </w:r>
    </w:p>
    <w:p w:rsidR="00725D8F" w:rsidRDefault="00725D8F" w:rsidP="00725D8F">
      <w:pPr>
        <w:pStyle w:val="NormalWeb"/>
        <w:spacing w:before="0" w:beforeAutospacing="0" w:after="0" w:afterAutospacing="0"/>
        <w:jc w:val="both"/>
      </w:pPr>
      <w:r w:rsidRPr="00725D8F">
        <w:rPr>
          <w:rFonts w:asciiTheme="minorHAnsi" w:eastAsiaTheme="minorEastAsia" w:hAnsi="Calibri" w:cstheme="minorBidi"/>
          <w:color w:val="000000" w:themeColor="text1"/>
          <w:kern w:val="24"/>
        </w:rPr>
        <w:t>In vitro measurement of PFKFB3 activity in the presence of increasing concentrations of AZ PFKFB3 67.</w:t>
      </w:r>
    </w:p>
    <w:p w:rsidR="00725D8F" w:rsidRDefault="00725D8F" w:rsidP="00725D8F">
      <w:pPr>
        <w:jc w:val="both"/>
      </w:pPr>
    </w:p>
    <w:sectPr w:rsidR="00725D8F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D8F"/>
    <w:rsid w:val="00030979"/>
    <w:rsid w:val="006A7085"/>
    <w:rsid w:val="00725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,"/>
  <w14:docId w14:val="2225AC86"/>
  <w15:chartTrackingRefBased/>
  <w15:docId w15:val="{F6184350-90C3-4861-B131-884471C50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5D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666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Geert Bultynck</dc:creator>
  <cp:keywords/>
  <dc:description/>
  <cp:lastModifiedBy>Geert Bultynck</cp:lastModifiedBy>
  <cp:revision>2</cp:revision>
  <dcterms:created xsi:type="dcterms:W3CDTF">2022-11-18T10:38:00Z</dcterms:created>
  <dcterms:modified xsi:type="dcterms:W3CDTF">2022-11-18T10:42:00Z</dcterms:modified>
</cp:coreProperties>
</file>