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hint="default" w:ascii="Times New Roman" w:hAnsi="Times New Roman" w:cs="Times New Roman"/>
          <w:b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b/>
          <w:color w:val="auto"/>
          <w:sz w:val="32"/>
          <w:szCs w:val="32"/>
          <w:highlight w:val="none"/>
        </w:rPr>
        <w:t>Supporting information for</w:t>
      </w:r>
    </w:p>
    <w:p>
      <w:pPr>
        <w:spacing w:line="360" w:lineRule="auto"/>
        <w:rPr>
          <w:rFonts w:hint="default" w:ascii="Times New Roman" w:hAnsi="Times New Roman" w:cs="Times New Roman"/>
          <w:b/>
          <w:bCs/>
          <w:color w:val="auto"/>
          <w:sz w:val="28"/>
          <w:szCs w:val="28"/>
          <w:highlight w:val="none"/>
        </w:rPr>
      </w:pPr>
      <w:bookmarkStart w:id="0" w:name="OLE_LINK82"/>
      <w:bookmarkStart w:id="1" w:name="OLE_LINK5"/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highlight w:val="none"/>
        </w:rPr>
        <w:t xml:space="preserve">Verification of a leaf litter decomposition model based on long-term </w:t>
      </w:r>
      <w:bookmarkStart w:id="2" w:name="OLE_LINK7"/>
      <w:bookmarkStart w:id="3" w:name="OLE_LINK8"/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highlight w:val="none"/>
        </w:rPr>
        <w:t xml:space="preserve">field trials in </w:t>
      </w:r>
      <w:bookmarkStart w:id="4" w:name="OLE_LINK108"/>
      <w:bookmarkStart w:id="5" w:name="OLE_LINK109"/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highlight w:val="none"/>
        </w:rPr>
        <w:t>Gongga Mountain</w:t>
      </w:r>
      <w:bookmarkEnd w:id="2"/>
      <w:bookmarkEnd w:id="3"/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highlight w:val="none"/>
        </w:rPr>
        <w:t>, Qinghai-Tibetan Plateau, China</w:t>
      </w:r>
      <w:bookmarkEnd w:id="4"/>
      <w:bookmarkEnd w:id="5"/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highlight w:val="none"/>
        </w:rPr>
        <w:t xml:space="preserve"> </w:t>
      </w:r>
    </w:p>
    <w:bookmarkEnd w:id="0"/>
    <w:bookmarkEnd w:id="1"/>
    <w:p>
      <w:pPr>
        <w:spacing w:line="360" w:lineRule="auto"/>
        <w:rPr>
          <w:rFonts w:hint="default" w:ascii="Times New Roman" w:hAnsi="Times New Roman" w:cs="Times New Roman"/>
          <w:color w:val="auto"/>
          <w:szCs w:val="21"/>
          <w:highlight w:val="none"/>
          <w:lang w:val="en-GB"/>
        </w:rPr>
      </w:pPr>
      <w:bookmarkStart w:id="6" w:name="OLE_LINK35"/>
      <w:bookmarkStart w:id="7" w:name="OLE_LINK31"/>
      <w:bookmarkStart w:id="8" w:name="OLE_LINK25"/>
      <w:bookmarkStart w:id="9" w:name="OLE_LINK26"/>
      <w:bookmarkStart w:id="10" w:name="OLE_LINK17"/>
      <w:r>
        <w:rPr>
          <w:rFonts w:hint="default" w:ascii="Times New Roman" w:hAnsi="Times New Roman" w:cs="Times New Roman"/>
          <w:b/>
          <w:color w:val="auto"/>
          <w:kern w:val="0"/>
          <w:szCs w:val="21"/>
          <w:highlight w:val="none"/>
          <w:lang w:val="en-GB" w:eastAsia="en-GB"/>
        </w:rPr>
        <w:t>Ronggui Tang</w:t>
      </w:r>
      <w:bookmarkStart w:id="11" w:name="OLE_LINK66"/>
      <w:bookmarkStart w:id="12" w:name="OLE_LINK65"/>
      <w:r>
        <w:rPr>
          <w:rFonts w:hint="default" w:ascii="Times New Roman" w:hAnsi="Times New Roman" w:cs="Times New Roman"/>
          <w:b/>
          <w:color w:val="auto"/>
          <w:kern w:val="0"/>
          <w:szCs w:val="21"/>
          <w:highlight w:val="none"/>
          <w:vertAlign w:val="superscript"/>
          <w:lang w:val="en-GB"/>
        </w:rPr>
        <w:t>a</w:t>
      </w:r>
      <w:r>
        <w:rPr>
          <w:rFonts w:hint="default" w:ascii="Times New Roman" w:hAnsi="Times New Roman" w:cs="Times New Roman"/>
          <w:b/>
          <w:color w:val="auto"/>
          <w:kern w:val="0"/>
          <w:szCs w:val="21"/>
          <w:highlight w:val="none"/>
          <w:vertAlign w:val="superscript"/>
          <w:lang w:val="en-GB" w:eastAsia="en-GB"/>
        </w:rPr>
        <w:t xml:space="preserve">, </w:t>
      </w:r>
      <w:bookmarkEnd w:id="11"/>
      <w:bookmarkEnd w:id="12"/>
      <w:bookmarkStart w:id="13" w:name="OLE_LINK49"/>
      <w:bookmarkStart w:id="14" w:name="OLE_LINK48"/>
      <w:r>
        <w:rPr>
          <w:rFonts w:hint="default" w:ascii="Times New Roman" w:hAnsi="Times New Roman" w:cs="Times New Roman"/>
          <w:b/>
          <w:color w:val="auto"/>
          <w:kern w:val="0"/>
          <w:szCs w:val="21"/>
          <w:highlight w:val="none"/>
          <w:vertAlign w:val="superscript"/>
          <w:lang w:val="en-GB"/>
        </w:rPr>
        <w:t>b</w:t>
      </w: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 xml:space="preserve">, </w:t>
      </w:r>
      <w:bookmarkStart w:id="15" w:name="OLE_LINK62"/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 xml:space="preserve">Thomas </w:t>
      </w:r>
      <w:bookmarkStart w:id="16" w:name="OLE_LINK83"/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H. DeLuca</w:t>
      </w:r>
      <w:bookmarkEnd w:id="15"/>
      <w:bookmarkEnd w:id="16"/>
      <w:r>
        <w:rPr>
          <w:rFonts w:hint="default" w:ascii="Times New Roman" w:hAnsi="Times New Roman" w:cs="Times New Roman"/>
          <w:b/>
          <w:color w:val="auto"/>
          <w:szCs w:val="21"/>
          <w:highlight w:val="none"/>
          <w:vertAlign w:val="superscript"/>
        </w:rPr>
        <w:t>c</w:t>
      </w: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, Yanjiang Cai</w:t>
      </w:r>
      <w:r>
        <w:rPr>
          <w:rFonts w:hint="default" w:ascii="Times New Roman" w:hAnsi="Times New Roman" w:cs="Times New Roman"/>
          <w:b/>
          <w:color w:val="auto"/>
          <w:szCs w:val="21"/>
          <w:highlight w:val="none"/>
          <w:vertAlign w:val="superscript"/>
        </w:rPr>
        <w:t>a</w:t>
      </w:r>
      <w:r>
        <w:rPr>
          <w:rFonts w:hint="default" w:ascii="Times New Roman" w:hAnsi="Times New Roman" w:cs="Times New Roman"/>
          <w:b/>
          <w:color w:val="auto"/>
          <w:kern w:val="0"/>
          <w:szCs w:val="21"/>
          <w:highlight w:val="none"/>
          <w:vertAlign w:val="superscript"/>
          <w:lang w:val="en-GB"/>
        </w:rPr>
        <w:t>*</w:t>
      </w: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, Shouqin Sun</w:t>
      </w:r>
      <w:r>
        <w:rPr>
          <w:rFonts w:hint="default" w:ascii="Times New Roman" w:hAnsi="Times New Roman" w:cs="Times New Roman"/>
          <w:b/>
          <w:color w:val="auto"/>
          <w:szCs w:val="21"/>
          <w:highlight w:val="none"/>
          <w:vertAlign w:val="superscript"/>
        </w:rPr>
        <w:t>b</w:t>
      </w: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 xml:space="preserve">, </w:t>
      </w:r>
      <w:r>
        <w:rPr>
          <w:rFonts w:hint="default" w:ascii="Times New Roman" w:hAnsi="Times New Roman" w:cs="Times New Roman"/>
          <w:b/>
          <w:color w:val="auto"/>
          <w:kern w:val="0"/>
          <w:szCs w:val="21"/>
          <w:highlight w:val="none"/>
          <w:lang w:val="en-GB" w:eastAsia="en-GB"/>
        </w:rPr>
        <w:t>Ji Luo</w:t>
      </w:r>
      <w:r>
        <w:rPr>
          <w:rFonts w:hint="default" w:ascii="Times New Roman" w:hAnsi="Times New Roman" w:cs="Times New Roman"/>
          <w:b/>
          <w:color w:val="auto"/>
          <w:kern w:val="0"/>
          <w:szCs w:val="21"/>
          <w:highlight w:val="none"/>
          <w:vertAlign w:val="superscript"/>
        </w:rPr>
        <w:t>b</w:t>
      </w:r>
      <w:r>
        <w:rPr>
          <w:rFonts w:hint="default" w:ascii="Times New Roman" w:hAnsi="Times New Roman" w:cs="Times New Roman"/>
          <w:b/>
          <w:color w:val="auto"/>
          <w:kern w:val="0"/>
          <w:szCs w:val="21"/>
          <w:highlight w:val="none"/>
          <w:vertAlign w:val="superscript"/>
          <w:lang w:val="en-GB"/>
        </w:rPr>
        <w:t>, *</w:t>
      </w:r>
    </w:p>
    <w:bookmarkEnd w:id="6"/>
    <w:bookmarkEnd w:id="7"/>
    <w:bookmarkEnd w:id="8"/>
    <w:bookmarkEnd w:id="9"/>
    <w:bookmarkEnd w:id="10"/>
    <w:bookmarkEnd w:id="13"/>
    <w:bookmarkEnd w:id="14"/>
    <w:p>
      <w:pPr>
        <w:pStyle w:val="14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hint="default" w:ascii="Times New Roman" w:hAnsi="Times New Roman" w:cs="Times New Roman"/>
          <w:color w:val="auto"/>
          <w:szCs w:val="21"/>
          <w:highlight w:val="none"/>
        </w:rPr>
      </w:pPr>
      <w:bookmarkStart w:id="17" w:name="OLE_LINK39"/>
      <w:bookmarkStart w:id="18" w:name="OLE_LINK36"/>
      <w:r>
        <w:rPr>
          <w:rFonts w:hint="default" w:ascii="Times New Roman" w:hAnsi="Times New Roman" w:cs="Times New Roman"/>
          <w:color w:val="auto"/>
          <w:szCs w:val="21"/>
          <w:highlight w:val="none"/>
        </w:rPr>
        <w:t>State Key Laboratory of Subtropical Silviculture, Zhejiang A&amp;F University, Hangzhou, 311300, China</w:t>
      </w:r>
    </w:p>
    <w:bookmarkEnd w:id="17"/>
    <w:bookmarkEnd w:id="18"/>
    <w:p>
      <w:pPr>
        <w:pStyle w:val="14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Key Laboratory of Mountain Surface Processes and Ecological Regulation, </w:t>
      </w:r>
      <w:bookmarkStart w:id="19" w:name="OLE_LINK12"/>
      <w:bookmarkStart w:id="20" w:name="OLE_LINK206"/>
      <w:bookmarkStart w:id="21" w:name="OLE_LINK207"/>
      <w:bookmarkStart w:id="22" w:name="OLE_LINK51"/>
      <w:bookmarkStart w:id="23" w:name="OLE_LINK50"/>
      <w:r>
        <w:rPr>
          <w:rFonts w:hint="default" w:ascii="Times New Roman" w:hAnsi="Times New Roman" w:cs="Times New Roman"/>
          <w:color w:val="auto"/>
          <w:szCs w:val="21"/>
          <w:highlight w:val="none"/>
        </w:rPr>
        <w:t>Institute of Mountain Hazards and Environment</w:t>
      </w:r>
      <w:bookmarkEnd w:id="19"/>
      <w:r>
        <w:rPr>
          <w:rFonts w:hint="default" w:ascii="Times New Roman" w:hAnsi="Times New Roman" w:cs="Times New Roman"/>
          <w:color w:val="auto"/>
          <w:szCs w:val="21"/>
          <w:highlight w:val="none"/>
        </w:rPr>
        <w:t>, Chinese Academy of Sciences</w:t>
      </w:r>
      <w:bookmarkEnd w:id="20"/>
      <w:bookmarkEnd w:id="21"/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&amp; Ministry of Water Conservancy, Chengdu</w:t>
      </w:r>
      <w:bookmarkEnd w:id="22"/>
      <w:bookmarkEnd w:id="23"/>
      <w:r>
        <w:rPr>
          <w:rFonts w:hint="default" w:ascii="Times New Roman" w:hAnsi="Times New Roman" w:cs="Times New Roman"/>
          <w:color w:val="auto"/>
          <w:szCs w:val="21"/>
          <w:highlight w:val="none"/>
        </w:rPr>
        <w:t>, 610049, China</w:t>
      </w:r>
    </w:p>
    <w:p>
      <w:pPr>
        <w:pStyle w:val="14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College of Forestry, Oregon State University, Corvallis, 97331, USA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hint="default" w:ascii="Times New Roman" w:hAnsi="Times New Roman" w:cs="Times New Roman"/>
          <w:i/>
          <w:color w:val="auto"/>
          <w:szCs w:val="21"/>
          <w:highlight w:val="none"/>
        </w:rPr>
      </w:pPr>
    </w:p>
    <w:p>
      <w:pPr>
        <w:autoSpaceDE w:val="0"/>
        <w:autoSpaceDN w:val="0"/>
        <w:adjustRightInd w:val="0"/>
        <w:spacing w:line="360" w:lineRule="auto"/>
        <w:jc w:val="left"/>
        <w:rPr>
          <w:rFonts w:hint="default" w:ascii="Times New Roman" w:hAnsi="Times New Roman" w:cs="Times New Roman"/>
          <w:b/>
          <w:bCs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bCs/>
          <w:color w:val="auto"/>
          <w:szCs w:val="21"/>
          <w:highlight w:val="none"/>
        </w:rPr>
        <w:t>* Corresponding author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hint="default" w:ascii="Times New Roman" w:hAnsi="Times New Roman" w:cs="Times New Roman"/>
          <w:b/>
          <w:bCs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bCs/>
          <w:color w:val="auto"/>
          <w:highlight w:val="none"/>
        </w:rPr>
        <w:t xml:space="preserve">Prof. </w:t>
      </w:r>
      <w:r>
        <w:rPr>
          <w:rFonts w:hint="default" w:ascii="Times New Roman" w:hAnsi="Times New Roman" w:cs="Times New Roman"/>
          <w:b/>
          <w:bCs/>
          <w:color w:val="auto"/>
          <w:szCs w:val="21"/>
          <w:highlight w:val="none"/>
        </w:rPr>
        <w:t>Yanjiang Cai</w:t>
      </w:r>
      <w:r>
        <w:rPr>
          <w:rFonts w:hint="default" w:ascii="Times New Roman" w:hAnsi="Times New Roman" w:cs="Times New Roman"/>
          <w:b/>
          <w:bCs/>
          <w:color w:val="auto"/>
          <w:kern w:val="0"/>
          <w:szCs w:val="21"/>
          <w:highlight w:val="none"/>
          <w:lang w:val="en-GB"/>
        </w:rPr>
        <w:t>.</w:t>
      </w:r>
      <w:r>
        <w:rPr>
          <w:rFonts w:hint="default" w:ascii="Times New Roman" w:hAnsi="Times New Roman" w:cs="Times New Roman"/>
          <w:b/>
          <w:bCs/>
          <w:color w:val="auto"/>
          <w:szCs w:val="21"/>
          <w:highlight w:val="none"/>
        </w:rPr>
        <w:t xml:space="preserve"> </w:t>
      </w:r>
    </w:p>
    <w:p>
      <w:pPr>
        <w:autoSpaceDE w:val="0"/>
        <w:autoSpaceDN w:val="0"/>
        <w:adjustRightInd w:val="0"/>
        <w:spacing w:line="360" w:lineRule="auto"/>
        <w:jc w:val="left"/>
        <w:rPr>
          <w:rStyle w:val="10"/>
          <w:rFonts w:hint="default" w:ascii="Times New Roman" w:hAnsi="Times New Roman" w:cs="Times New Roman"/>
          <w:color w:val="auto"/>
          <w:szCs w:val="21"/>
          <w:highlight w:val="none"/>
          <w:u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E-mail address:</w:t>
      </w:r>
      <w:r>
        <w:rPr>
          <w:rStyle w:val="10"/>
          <w:rFonts w:hint="default" w:ascii="Times New Roman" w:hAnsi="Times New Roman" w:cs="Times New Roman"/>
          <w:color w:val="auto"/>
          <w:szCs w:val="21"/>
          <w:highlight w:val="none"/>
          <w:u w:val="none"/>
        </w:rPr>
        <w:t xml:space="preserve"> </w:t>
      </w:r>
      <w:r>
        <w:rPr>
          <w:rFonts w:hint="default" w:ascii="Times New Roman" w:hAnsi="Times New Roman" w:cs="Times New Roman"/>
          <w:color w:val="auto"/>
          <w:highlight w:val="none"/>
        </w:rPr>
        <w:fldChar w:fldCharType="begin"/>
      </w:r>
      <w:r>
        <w:rPr>
          <w:rFonts w:hint="default" w:ascii="Times New Roman" w:hAnsi="Times New Roman" w:cs="Times New Roman"/>
          <w:color w:val="auto"/>
          <w:highlight w:val="none"/>
        </w:rPr>
        <w:instrText xml:space="preserve"> HYPERLINK "mailto:yjcai@zafu.edu.cn" </w:instrText>
      </w:r>
      <w:r>
        <w:rPr>
          <w:rFonts w:hint="default" w:ascii="Times New Roman" w:hAnsi="Times New Roman" w:cs="Times New Roman"/>
          <w:color w:val="auto"/>
          <w:highlight w:val="none"/>
        </w:rPr>
        <w:fldChar w:fldCharType="separate"/>
      </w:r>
      <w:r>
        <w:rPr>
          <w:rStyle w:val="10"/>
          <w:rFonts w:hint="default" w:ascii="Times New Roman" w:hAnsi="Times New Roman" w:cs="Times New Roman"/>
          <w:color w:val="auto"/>
          <w:szCs w:val="21"/>
          <w:highlight w:val="none"/>
          <w:u w:val="none"/>
        </w:rPr>
        <w:t>yjcai@zafu.edu.cn</w:t>
      </w:r>
      <w:r>
        <w:rPr>
          <w:rStyle w:val="10"/>
          <w:rFonts w:hint="default" w:ascii="Times New Roman" w:hAnsi="Times New Roman" w:cs="Times New Roman"/>
          <w:color w:val="auto"/>
          <w:szCs w:val="21"/>
          <w:highlight w:val="none"/>
          <w:u w:val="none"/>
        </w:rPr>
        <w:fldChar w:fldCharType="end"/>
      </w:r>
    </w:p>
    <w:p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State Key Laboratory of Subtropical Silviculture, Zhejiang A&amp;F University, Hangzhou, 311300, China</w:t>
      </w:r>
    </w:p>
    <w:p>
      <w:pPr>
        <w:autoSpaceDE w:val="0"/>
        <w:autoSpaceDN w:val="0"/>
        <w:adjustRightInd w:val="0"/>
        <w:spacing w:line="360" w:lineRule="auto"/>
        <w:jc w:val="right"/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>
      <w:pPr>
        <w:autoSpaceDE w:val="0"/>
        <w:autoSpaceDN w:val="0"/>
        <w:adjustRightInd w:val="0"/>
        <w:spacing w:line="360" w:lineRule="auto"/>
        <w:jc w:val="left"/>
        <w:rPr>
          <w:rFonts w:hint="default" w:ascii="Times New Roman" w:hAnsi="Times New Roman" w:cs="Times New Roman"/>
          <w:b/>
          <w:bCs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bCs/>
          <w:color w:val="auto"/>
          <w:highlight w:val="none"/>
        </w:rPr>
        <w:t xml:space="preserve">Prof. </w:t>
      </w:r>
      <w:r>
        <w:rPr>
          <w:rFonts w:hint="default" w:ascii="Times New Roman" w:hAnsi="Times New Roman" w:cs="Times New Roman"/>
          <w:b/>
          <w:bCs/>
          <w:color w:val="auto"/>
          <w:kern w:val="0"/>
          <w:szCs w:val="21"/>
          <w:highlight w:val="none"/>
          <w:lang w:val="en-GB" w:eastAsia="en-GB"/>
        </w:rPr>
        <w:t>Ji Luo</w:t>
      </w:r>
      <w:r>
        <w:rPr>
          <w:rFonts w:hint="default" w:ascii="Times New Roman" w:hAnsi="Times New Roman" w:cs="Times New Roman"/>
          <w:b/>
          <w:bCs/>
          <w:color w:val="auto"/>
          <w:kern w:val="0"/>
          <w:szCs w:val="21"/>
          <w:highlight w:val="none"/>
          <w:lang w:val="en-GB"/>
        </w:rPr>
        <w:t>.</w:t>
      </w:r>
      <w:r>
        <w:rPr>
          <w:rFonts w:hint="default" w:ascii="Times New Roman" w:hAnsi="Times New Roman" w:cs="Times New Roman"/>
          <w:b/>
          <w:bCs/>
          <w:color w:val="auto"/>
          <w:szCs w:val="21"/>
          <w:highlight w:val="none"/>
        </w:rPr>
        <w:t xml:space="preserve"> </w:t>
      </w:r>
    </w:p>
    <w:p>
      <w:pPr>
        <w:autoSpaceDE w:val="0"/>
        <w:autoSpaceDN w:val="0"/>
        <w:adjustRightInd w:val="0"/>
        <w:spacing w:line="360" w:lineRule="auto"/>
        <w:jc w:val="left"/>
        <w:rPr>
          <w:rStyle w:val="10"/>
          <w:rFonts w:hint="default" w:ascii="Times New Roman" w:hAnsi="Times New Roman" w:cs="Times New Roman"/>
          <w:color w:val="auto"/>
          <w:szCs w:val="21"/>
          <w:highlight w:val="none"/>
          <w:u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E-mail address:</w:t>
      </w:r>
      <w:r>
        <w:rPr>
          <w:rFonts w:hint="default" w:ascii="Times New Roman" w:hAnsi="Times New Roman" w:cs="Times New Roman"/>
          <w:color w:val="auto"/>
          <w:highlight w:val="none"/>
        </w:rPr>
        <w:t xml:space="preserve"> </w:t>
      </w:r>
      <w:r>
        <w:rPr>
          <w:rFonts w:hint="default" w:ascii="Times New Roman" w:hAnsi="Times New Roman" w:cs="Times New Roman"/>
          <w:color w:val="auto"/>
          <w:highlight w:val="none"/>
        </w:rPr>
        <w:fldChar w:fldCharType="begin"/>
      </w:r>
      <w:r>
        <w:rPr>
          <w:rFonts w:hint="default" w:ascii="Times New Roman" w:hAnsi="Times New Roman" w:cs="Times New Roman"/>
          <w:color w:val="auto"/>
          <w:highlight w:val="none"/>
        </w:rPr>
        <w:instrText xml:space="preserve"> HYPERLINK "mailto:luoji@imde.ac.cn" </w:instrText>
      </w:r>
      <w:r>
        <w:rPr>
          <w:rFonts w:hint="default" w:ascii="Times New Roman" w:hAnsi="Times New Roman" w:cs="Times New Roman"/>
          <w:color w:val="auto"/>
          <w:highlight w:val="none"/>
        </w:rPr>
        <w:fldChar w:fldCharType="separate"/>
      </w:r>
      <w:r>
        <w:rPr>
          <w:rStyle w:val="10"/>
          <w:rFonts w:hint="default" w:ascii="Times New Roman" w:hAnsi="Times New Roman" w:cs="Times New Roman"/>
          <w:color w:val="auto"/>
          <w:szCs w:val="21"/>
          <w:highlight w:val="none"/>
          <w:u w:val="none"/>
        </w:rPr>
        <w:t>luoji@imde.ac.cn</w:t>
      </w:r>
      <w:r>
        <w:rPr>
          <w:rStyle w:val="10"/>
          <w:rFonts w:hint="default" w:ascii="Times New Roman" w:hAnsi="Times New Roman" w:cs="Times New Roman"/>
          <w:color w:val="auto"/>
          <w:szCs w:val="21"/>
          <w:highlight w:val="none"/>
          <w:u w:val="none"/>
        </w:rPr>
        <w:fldChar w:fldCharType="end"/>
      </w:r>
      <w:r>
        <w:rPr>
          <w:rStyle w:val="10"/>
          <w:rFonts w:hint="default" w:ascii="Times New Roman" w:hAnsi="Times New Roman" w:cs="Times New Roman"/>
          <w:color w:val="auto"/>
          <w:szCs w:val="21"/>
          <w:highlight w:val="none"/>
          <w:u w:val="none"/>
        </w:rPr>
        <w:t xml:space="preserve"> </w:t>
      </w:r>
    </w:p>
    <w:p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Key Laboratory of Mountain Surface Processes and Ecological Regulation, Institute of Mountain Hazards and Environment, Chinese Academy of Sciences &amp; Ministry of Water Conservancy, Chengdu, 610049, China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hint="default" w:ascii="Times New Roman" w:hAnsi="Times New Roman" w:cs="Times New Roman"/>
          <w:b/>
          <w:color w:val="auto"/>
          <w:kern w:val="0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color w:val="auto"/>
          <w:kern w:val="0"/>
          <w:szCs w:val="21"/>
          <w:highlight w:val="none"/>
          <w:lang w:val="en-GB" w:eastAsia="en-GB"/>
        </w:rPr>
        <w:t>R</w:t>
      </w:r>
      <w:r>
        <w:rPr>
          <w:rFonts w:hint="default" w:ascii="Times New Roman" w:hAnsi="Times New Roman" w:cs="Times New Roman"/>
          <w:b/>
          <w:color w:val="auto"/>
          <w:kern w:val="0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color w:val="auto"/>
          <w:kern w:val="0"/>
          <w:szCs w:val="21"/>
          <w:highlight w:val="none"/>
          <w:lang w:val="en-GB" w:eastAsia="en-GB"/>
        </w:rPr>
        <w:t>Tang</w:t>
      </w:r>
      <w:r>
        <w:rPr>
          <w:rFonts w:hint="default" w:ascii="Times New Roman" w:hAnsi="Times New Roman" w:cs="Times New Roman"/>
          <w:b/>
          <w:color w:val="auto"/>
          <w:kern w:val="0"/>
          <w:szCs w:val="21"/>
          <w:highlight w:val="none"/>
          <w:lang w:val="en-US" w:eastAsia="zh-CN"/>
        </w:rPr>
        <w:t xml:space="preserve"> 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hint="default" w:ascii="Times New Roman" w:hAnsi="Times New Roman" w:cs="Times New Roman"/>
          <w:b w:val="0"/>
          <w:bCs/>
          <w:color w:val="auto"/>
          <w:kern w:val="0"/>
          <w:szCs w:val="21"/>
          <w:highlight w:val="none"/>
          <w:u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color w:val="auto"/>
          <w:kern w:val="0"/>
          <w:szCs w:val="21"/>
          <w:highlight w:val="none"/>
          <w:lang w:val="en-US" w:eastAsia="zh-CN"/>
        </w:rPr>
        <w:t xml:space="preserve">email: </w:t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Cs w:val="21"/>
          <w:highlight w:val="none"/>
          <w:u w:val="none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Cs w:val="21"/>
          <w:highlight w:val="none"/>
          <w:u w:val="none"/>
          <w:lang w:val="en-US" w:eastAsia="zh-CN"/>
        </w:rPr>
        <w:instrText xml:space="preserve"> HYPERLINK "mailto:rgtang@zafu.edu.cn" </w:instrText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Cs w:val="21"/>
          <w:highlight w:val="none"/>
          <w:u w:val="none"/>
          <w:lang w:val="en-US" w:eastAsia="zh-CN"/>
        </w:rPr>
        <w:fldChar w:fldCharType="separate"/>
      </w:r>
      <w:r>
        <w:rPr>
          <w:rStyle w:val="10"/>
          <w:rFonts w:hint="default" w:ascii="Times New Roman" w:hAnsi="Times New Roman" w:cs="Times New Roman"/>
          <w:b w:val="0"/>
          <w:bCs/>
          <w:color w:val="auto"/>
          <w:kern w:val="0"/>
          <w:szCs w:val="21"/>
          <w:highlight w:val="none"/>
          <w:u w:val="none"/>
          <w:lang w:val="en-US" w:eastAsia="zh-CN"/>
        </w:rPr>
        <w:t>rgtang@zafu.edu.cn</w:t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Cs w:val="21"/>
          <w:highlight w:val="none"/>
          <w:u w:val="none"/>
          <w:lang w:val="en-US" w:eastAsia="zh-CN"/>
        </w:rPr>
        <w:fldChar w:fldCharType="end"/>
      </w:r>
      <w:bookmarkStart w:id="26" w:name="_GoBack"/>
      <w:bookmarkEnd w:id="26"/>
    </w:p>
    <w:p>
      <w:pPr>
        <w:autoSpaceDE w:val="0"/>
        <w:autoSpaceDN w:val="0"/>
        <w:adjustRightInd w:val="0"/>
        <w:spacing w:line="360" w:lineRule="auto"/>
        <w:jc w:val="left"/>
        <w:rPr>
          <w:rFonts w:hint="default" w:ascii="Times New Roman" w:hAnsi="Times New Roman" w:cs="Times New Roman"/>
          <w:b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T</w:t>
      </w:r>
      <w:r>
        <w:rPr>
          <w:rFonts w:hint="default" w:ascii="Times New Roman" w:hAnsi="Times New Roman" w:cs="Times New Roman"/>
          <w:b/>
          <w:color w:val="auto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DeLuca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hint="default" w:ascii="Times New Roman" w:hAnsi="Times New Roman" w:cs="Times New Roman"/>
          <w:b w:val="0"/>
          <w:bCs/>
          <w:color w:val="auto"/>
          <w:kern w:val="0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color w:val="auto"/>
          <w:kern w:val="0"/>
          <w:szCs w:val="21"/>
          <w:highlight w:val="none"/>
          <w:lang w:val="en-US" w:eastAsia="zh-CN"/>
        </w:rPr>
        <w:t>email:</w:t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Cs w:val="21"/>
          <w:highlight w:val="none"/>
          <w:u w:val="none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Cs w:val="21"/>
          <w:highlight w:val="none"/>
          <w:u w:val="none"/>
          <w:lang w:val="en-US" w:eastAsia="zh-CN"/>
        </w:rPr>
        <w:instrText xml:space="preserve"> HYPERLINK "mailto:tom.deluca@oregonstate.edu" </w:instrText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Cs w:val="21"/>
          <w:highlight w:val="none"/>
          <w:u w:val="none"/>
          <w:lang w:val="en-US" w:eastAsia="zh-CN"/>
        </w:rPr>
        <w:fldChar w:fldCharType="separate"/>
      </w:r>
      <w:r>
        <w:rPr>
          <w:rStyle w:val="10"/>
          <w:rFonts w:hint="default" w:ascii="Times New Roman" w:hAnsi="Times New Roman" w:cs="Times New Roman"/>
          <w:b w:val="0"/>
          <w:bCs/>
          <w:color w:val="auto"/>
          <w:kern w:val="0"/>
          <w:szCs w:val="21"/>
          <w:highlight w:val="none"/>
          <w:u w:val="none"/>
          <w:lang w:val="en-US" w:eastAsia="zh-CN"/>
        </w:rPr>
        <w:t>tom.deluca@oregonstate.edu</w:t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Cs w:val="21"/>
          <w:highlight w:val="none"/>
          <w:u w:val="none"/>
          <w:lang w:val="en-US" w:eastAsia="zh-CN"/>
        </w:rPr>
        <w:fldChar w:fldCharType="end"/>
      </w:r>
    </w:p>
    <w:p>
      <w:pPr>
        <w:autoSpaceDE w:val="0"/>
        <w:autoSpaceDN w:val="0"/>
        <w:adjustRightInd w:val="0"/>
        <w:spacing w:line="360" w:lineRule="auto"/>
        <w:jc w:val="left"/>
        <w:rPr>
          <w:rFonts w:hint="default" w:ascii="Times New Roman" w:hAnsi="Times New Roman" w:cs="Times New Roman"/>
          <w:b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S Sun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hint="default" w:ascii="Times New Roman" w:hAnsi="Times New Roman" w:cs="Times New Roman"/>
          <w:b w:val="0"/>
          <w:bCs/>
          <w:color w:val="auto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color w:val="auto"/>
          <w:kern w:val="0"/>
          <w:szCs w:val="21"/>
          <w:highlight w:val="none"/>
          <w:lang w:val="en-US" w:eastAsia="zh-CN"/>
        </w:rPr>
        <w:t xml:space="preserve">email: </w:t>
      </w:r>
      <w:r>
        <w:rPr>
          <w:rFonts w:hint="default" w:ascii="Times New Roman" w:hAnsi="Times New Roman" w:cs="Times New Roman"/>
          <w:b w:val="0"/>
          <w:bCs/>
          <w:color w:val="auto"/>
          <w:szCs w:val="21"/>
          <w:highlight w:val="none"/>
          <w:lang w:val="en-US" w:eastAsia="zh-CN"/>
        </w:rPr>
        <w:t>shouqinsun@scu.edu.cn</w:t>
      </w:r>
    </w:p>
    <w:p>
      <w:pPr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t xml:space="preserve">Olson’s derivation progress </w:t>
      </w:r>
      <w:r>
        <w:rPr>
          <w:rFonts w:hint="default" w:ascii="Times New Roman" w:hAnsi="Times New Roman" w:cs="Times New Roman"/>
          <w:color w:val="auto"/>
          <w:highlight w:val="none"/>
        </w:rPr>
        <w:fldChar w:fldCharType="begin"/>
      </w:r>
      <w:r>
        <w:rPr>
          <w:rFonts w:hint="default" w:ascii="Times New Roman" w:hAnsi="Times New Roman" w:cs="Times New Roman"/>
          <w:color w:val="auto"/>
          <w:highlight w:val="none"/>
        </w:rPr>
        <w:instrText xml:space="preserve"> ADDIN EN.CITE &lt;EndNote&gt;&lt;Cite&gt;&lt;Author&gt;Olson&lt;/Author&gt;&lt;Year&gt;1963&lt;/Year&gt;&lt;RecNum&gt;49&lt;/RecNum&gt;&lt;DisplayText&gt;(Olson, 1963)&lt;/DisplayText&gt;&lt;record&gt;&lt;rec-number&gt;49&lt;/rec-number&gt;&lt;foreign-keys&gt;&lt;key app="EN" db-id="xxxtxr093xr2slexzaov0rrix2xt0vedwfxx"&gt;49&lt;/key&gt;&lt;/foreign-keys&gt;&lt;ref-type name="Journal Article"&gt;17&lt;/ref-type&gt;&lt;contributors&gt;&lt;authors&gt;&lt;author&gt;Olson, Jerry S&lt;/author&gt;&lt;/authors&gt;&lt;/contributors&gt;&lt;titles&gt;&lt;title&gt;Energy storage and the balance of producers and decomposers in ecological systems&lt;/title&gt;&lt;secondary-title&gt;Ecology&lt;/secondary-title&gt;&lt;/titles&gt;&lt;periodical&gt;&lt;full-title&gt;Ecology&lt;/full-title&gt;&lt;/periodical&gt;&lt;pages&gt;322-331&lt;/pages&gt;&lt;volume&gt;44&lt;/volume&gt;&lt;number&gt;2&lt;/number&gt;&lt;dates&gt;&lt;year&gt;1963&lt;/year&gt;&lt;/dates&gt;&lt;isbn&gt;0012-9658&lt;/isbn&gt;&lt;urls&gt;&lt;/urls&gt;&lt;/record&gt;&lt;/Cite&gt;&lt;/EndNote&gt;</w:instrText>
      </w:r>
      <w:r>
        <w:rPr>
          <w:rFonts w:hint="default" w:ascii="Times New Roman" w:hAnsi="Times New Roman" w:cs="Times New Roman"/>
          <w:color w:val="auto"/>
          <w:highlight w:val="none"/>
        </w:rPr>
        <w:fldChar w:fldCharType="separate"/>
      </w:r>
      <w:r>
        <w:rPr>
          <w:rFonts w:hint="default" w:ascii="Times New Roman" w:hAnsi="Times New Roman" w:cs="Times New Roman"/>
          <w:color w:val="auto"/>
          <w:highlight w:val="none"/>
        </w:rPr>
        <w:t>(</w:t>
      </w:r>
      <w:r>
        <w:rPr>
          <w:rFonts w:hint="default" w:ascii="Times New Roman" w:hAnsi="Times New Roman" w:cs="Times New Roman"/>
          <w:color w:val="auto"/>
          <w:highlight w:val="none"/>
        </w:rPr>
        <w:fldChar w:fldCharType="begin"/>
      </w:r>
      <w:r>
        <w:rPr>
          <w:rFonts w:hint="default" w:ascii="Times New Roman" w:hAnsi="Times New Roman" w:cs="Times New Roman"/>
          <w:color w:val="auto"/>
          <w:highlight w:val="none"/>
        </w:rPr>
        <w:instrText xml:space="preserve"> HYPERLINK \l "_ENREF_2" \o "Olson, 1963 #49" </w:instrText>
      </w:r>
      <w:r>
        <w:rPr>
          <w:rFonts w:hint="default" w:ascii="Times New Roman" w:hAnsi="Times New Roman" w:cs="Times New Roman"/>
          <w:color w:val="auto"/>
          <w:highlight w:val="none"/>
        </w:rPr>
        <w:fldChar w:fldCharType="separate"/>
      </w:r>
      <w:r>
        <w:rPr>
          <w:rFonts w:hint="default" w:ascii="Times New Roman" w:hAnsi="Times New Roman" w:cs="Times New Roman"/>
          <w:color w:val="auto"/>
          <w:highlight w:val="none"/>
        </w:rPr>
        <w:t>Olson, 1963</w:t>
      </w:r>
      <w:r>
        <w:rPr>
          <w:rFonts w:hint="default" w:ascii="Times New Roman" w:hAnsi="Times New Roman" w:cs="Times New Roman"/>
          <w:color w:val="auto"/>
          <w:highlight w:val="none"/>
        </w:rPr>
        <w:fldChar w:fldCharType="end"/>
      </w:r>
      <w:r>
        <w:rPr>
          <w:rFonts w:hint="default" w:ascii="Times New Roman" w:hAnsi="Times New Roman" w:cs="Times New Roman"/>
          <w:color w:val="auto"/>
          <w:highlight w:val="none"/>
        </w:rPr>
        <w:t>)</w:t>
      </w:r>
      <w:r>
        <w:rPr>
          <w:rFonts w:hint="default" w:ascii="Times New Roman" w:hAnsi="Times New Roman" w:cs="Times New Roman"/>
          <w:color w:val="auto"/>
          <w:highlight w:val="none"/>
        </w:rPr>
        <w:fldChar w:fldCharType="end"/>
      </w:r>
    </w:p>
    <w:p>
      <w:pPr>
        <w:jc w:val="center"/>
        <w:rPr>
          <w:rFonts w:hint="default" w:ascii="Times New Roman" w:hAnsi="Times New Roman" w:cs="Times New Roman"/>
          <w:i/>
          <w:iCs/>
          <w:color w:val="auto"/>
          <w:highlight w:val="none"/>
        </w:rPr>
      </w:pPr>
      <m:oMath>
        <m:f>
          <m:fPr>
            <m:ctrlPr>
              <w:rPr>
                <w:rFonts w:hint="default" w:ascii="Cambria Math" w:hAnsi="Cambria Math" w:cs="Times New Roman"/>
                <w:i/>
                <w:iCs/>
                <w:color w:val="auto"/>
                <w:szCs w:val="20"/>
                <w:highlight w:val="none"/>
              </w:rPr>
            </m:ctrlPr>
          </m:fPr>
          <m:num>
            <m:r>
              <w:rPr>
                <w:rFonts w:hint="default" w:ascii="Cambria Math" w:hAnsi="Cambria Math" w:cs="Times New Roman"/>
                <w:color w:val="auto"/>
                <w:highlight w:val="none"/>
              </w:rPr>
              <m:t>dX</m:t>
            </m:r>
            <m:ctrlPr>
              <w:rPr>
                <w:rFonts w:hint="default" w:ascii="Cambria Math" w:hAnsi="Cambria Math" w:cs="Times New Roman"/>
                <w:i/>
                <w:iCs/>
                <w:color w:val="auto"/>
                <w:szCs w:val="20"/>
                <w:highlight w:val="none"/>
              </w:rPr>
            </m:ctrlPr>
          </m:num>
          <m:den>
            <m:r>
              <w:rPr>
                <w:rFonts w:hint="default" w:ascii="Cambria Math" w:hAnsi="Cambria Math" w:cs="Times New Roman"/>
                <w:color w:val="auto"/>
                <w:highlight w:val="none"/>
              </w:rPr>
              <m:t>dt</m:t>
            </m:r>
            <m:ctrlPr>
              <w:rPr>
                <w:rFonts w:hint="default" w:ascii="Cambria Math" w:hAnsi="Cambria Math" w:cs="Times New Roman"/>
                <w:i/>
                <w:iCs/>
                <w:color w:val="auto"/>
                <w:szCs w:val="20"/>
                <w:highlight w:val="none"/>
              </w:rPr>
            </m:ctrlPr>
          </m:den>
        </m:f>
      </m:oMath>
      <w:r>
        <w:rPr>
          <w:rFonts w:hint="default" w:ascii="Times New Roman" w:hAnsi="Times New Roman" w:cs="Times New Roman"/>
          <w:i/>
          <w:iCs/>
          <w:color w:val="auto"/>
          <w:highlight w:val="none"/>
        </w:rPr>
        <w:t>= -kx</w:t>
      </w:r>
    </w:p>
    <w:p>
      <w:pPr>
        <w:autoSpaceDE w:val="0"/>
        <w:autoSpaceDN w:val="0"/>
        <w:adjustRightInd w:val="0"/>
        <w:jc w:val="right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t xml:space="preserve">                                 (1)</w:t>
      </w:r>
    </w:p>
    <w:p>
      <w:pPr>
        <w:autoSpaceDE w:val="0"/>
        <w:autoSpaceDN w:val="0"/>
        <w:adjustRightInd w:val="0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t xml:space="preserve">The mass loss rate kx for decomposing litter is considered as a product of the amount accumulated (x) and the instantaneous fractional loss rate, k when the decomposition effects of inputting litter was ignore in litterbag decomposition experiment.  </w:t>
      </w:r>
    </w:p>
    <w:p>
      <w:pPr>
        <w:autoSpaceDE w:val="0"/>
        <w:autoSpaceDN w:val="0"/>
        <w:adjustRightInd w:val="0"/>
        <w:jc w:val="right"/>
        <w:rPr>
          <w:rFonts w:hint="default" w:ascii="Times New Roman" w:hAnsi="Times New Roman" w:cs="Times New Roman"/>
          <w:color w:val="auto"/>
          <w:highlight w:val="none"/>
        </w:rPr>
      </w:pPr>
      <m:oMath>
        <m:f>
          <m:fPr>
            <m:ctrlPr>
              <w:rPr>
                <w:rFonts w:hint="default" w:ascii="Cambria Math" w:hAnsi="Cambria Math" w:cs="Times New Roman"/>
                <w:i/>
                <w:iCs/>
                <w:color w:val="auto"/>
                <w:szCs w:val="20"/>
                <w:highlight w:val="none"/>
              </w:rPr>
            </m:ctrlPr>
          </m:fPr>
          <m:num>
            <m:r>
              <w:rPr>
                <w:rFonts w:hint="default" w:ascii="Cambria Math" w:hAnsi="Cambria Math" w:cs="Times New Roman"/>
                <w:color w:val="auto"/>
                <w:highlight w:val="none"/>
              </w:rPr>
              <m:t>dX</m:t>
            </m:r>
            <m:ctrlPr>
              <w:rPr>
                <w:rFonts w:hint="default" w:ascii="Cambria Math" w:hAnsi="Cambria Math" w:cs="Times New Roman"/>
                <w:i/>
                <w:iCs/>
                <w:color w:val="auto"/>
                <w:szCs w:val="20"/>
                <w:highlight w:val="none"/>
              </w:rPr>
            </m:ctrlPr>
          </m:num>
          <m:den>
            <m:r>
              <w:rPr>
                <w:rFonts w:hint="default" w:ascii="Cambria Math" w:hAnsi="Cambria Math" w:cs="Times New Roman"/>
                <w:color w:val="auto"/>
                <w:highlight w:val="none"/>
              </w:rPr>
              <m:t>X</m:t>
            </m:r>
            <m:ctrlPr>
              <w:rPr>
                <w:rFonts w:hint="default" w:ascii="Cambria Math" w:hAnsi="Cambria Math" w:cs="Times New Roman"/>
                <w:i/>
                <w:iCs/>
                <w:color w:val="auto"/>
                <w:szCs w:val="20"/>
                <w:highlight w:val="none"/>
              </w:rPr>
            </m:ctrlPr>
          </m:den>
        </m:f>
      </m:oMath>
      <w:r>
        <w:rPr>
          <w:rFonts w:hint="default" w:ascii="Times New Roman" w:hAnsi="Times New Roman" w:cs="Times New Roman"/>
          <w:i/>
          <w:iCs/>
          <w:color w:val="auto"/>
          <w:highlight w:val="none"/>
        </w:rPr>
        <w:t>= -k</w:t>
      </w:r>
      <m:oMath>
        <m:r>
          <w:rPr>
            <w:rFonts w:hint="default" w:ascii="Cambria Math" w:hAnsi="Cambria Math" w:cs="Times New Roman"/>
            <w:color w:val="auto"/>
            <w:highlight w:val="none"/>
          </w:rPr>
          <m:t xml:space="preserve"> dt</m:t>
        </m:r>
      </m:oMath>
      <w:r>
        <w:rPr>
          <w:rFonts w:hint="default" w:ascii="Times New Roman" w:hAnsi="Times New Roman" w:cs="Times New Roman"/>
          <w:i/>
          <w:iCs/>
          <w:color w:val="auto"/>
          <w:highlight w:val="none"/>
        </w:rPr>
        <w:t xml:space="preserve">   </w:t>
      </w:r>
      <w:r>
        <w:rPr>
          <w:rFonts w:hint="default" w:ascii="Times New Roman" w:hAnsi="Times New Roman" w:cs="Times New Roman"/>
          <w:color w:val="auto"/>
          <w:highlight w:val="none"/>
        </w:rPr>
        <w:t xml:space="preserve">                              (2)</w:t>
      </w:r>
    </w:p>
    <w:p>
      <w:pPr>
        <w:autoSpaceDE w:val="0"/>
        <w:autoSpaceDN w:val="0"/>
        <w:adjustRightInd w:val="0"/>
        <w:jc w:val="right"/>
        <w:rPr>
          <w:rFonts w:hint="default" w:ascii="Times New Roman" w:hAnsi="Times New Roman" w:cs="Times New Roman"/>
          <w:color w:val="auto"/>
          <w:highlight w:val="none"/>
        </w:rPr>
      </w:pPr>
      <m:oMath>
        <m:nary>
          <m:naryPr>
            <m:chr m:val="∫"/>
            <m:limLoc m:val="undOvr"/>
            <m:subHide m:val="1"/>
            <m:supHide m:val="1"/>
            <m:ctrlPr>
              <w:rPr>
                <w:rFonts w:hint="default" w:ascii="Cambria Math" w:hAnsi="Cambria Math" w:cs="Times New Roman"/>
                <w:i/>
                <w:iCs/>
                <w:color w:val="auto"/>
                <w:szCs w:val="20"/>
                <w:highlight w:val="none"/>
              </w:rPr>
            </m:ctrlPr>
          </m:naryPr>
          <m:sub>
            <m:ctrlPr>
              <w:rPr>
                <w:rFonts w:hint="default" w:ascii="Cambria Math" w:hAnsi="Cambria Math" w:cs="Times New Roman"/>
                <w:i/>
                <w:iCs/>
                <w:color w:val="auto"/>
                <w:szCs w:val="20"/>
                <w:highlight w:val="none"/>
              </w:rPr>
            </m:ctrlPr>
          </m:sub>
          <m:sup>
            <m:ctrlPr>
              <w:rPr>
                <w:rFonts w:hint="default" w:ascii="Cambria Math" w:hAnsi="Cambria Math" w:cs="Times New Roman"/>
                <w:i/>
                <w:iCs/>
                <w:color w:val="auto"/>
                <w:szCs w:val="20"/>
                <w:highlight w:val="none"/>
              </w:rPr>
            </m:ctrlPr>
          </m:sup>
          <m:e>
            <m:f>
              <m:fPr>
                <m:ctrlPr>
                  <w:rPr>
                    <w:rFonts w:hint="default" w:ascii="Cambria Math" w:hAnsi="Cambria Math" w:cs="Times New Roman"/>
                    <w:i/>
                    <w:iCs/>
                    <w:color w:val="auto"/>
                    <w:szCs w:val="20"/>
                    <w:highlight w:val="none"/>
                  </w:rPr>
                </m:ctrlPr>
              </m:fPr>
              <m:num>
                <m:r>
                  <w:rPr>
                    <w:rFonts w:hint="default" w:ascii="Cambria Math" w:hAnsi="Cambria Math" w:cs="Times New Roman"/>
                    <w:color w:val="auto"/>
                    <w:highlight w:val="none"/>
                  </w:rPr>
                  <m:t>dX</m:t>
                </m:r>
                <m:ctrlPr>
                  <w:rPr>
                    <w:rFonts w:hint="default" w:ascii="Cambria Math" w:hAnsi="Cambria Math" w:cs="Times New Roman"/>
                    <w:i/>
                    <w:iCs/>
                    <w:color w:val="auto"/>
                    <w:szCs w:val="20"/>
                    <w:highlight w:val="none"/>
                  </w:rPr>
                </m:ctrlPr>
              </m:num>
              <m:den>
                <m:r>
                  <w:rPr>
                    <w:rFonts w:hint="default" w:ascii="Cambria Math" w:hAnsi="Cambria Math" w:cs="Times New Roman"/>
                    <w:color w:val="auto"/>
                    <w:highlight w:val="none"/>
                  </w:rPr>
                  <m:t>X</m:t>
                </m:r>
                <m:ctrlPr>
                  <w:rPr>
                    <w:rFonts w:hint="default" w:ascii="Cambria Math" w:hAnsi="Cambria Math" w:cs="Times New Roman"/>
                    <w:i/>
                    <w:iCs/>
                    <w:color w:val="auto"/>
                    <w:szCs w:val="20"/>
                    <w:highlight w:val="none"/>
                  </w:rPr>
                </m:ctrlPr>
              </m:den>
            </m:f>
            <m:r>
              <w:rPr>
                <w:rFonts w:hint="default" w:ascii="Cambria Math" w:hAnsi="Cambria Math" w:cs="Times New Roman"/>
                <w:color w:val="auto"/>
                <w:highlight w:val="none"/>
              </w:rPr>
              <m:t>=</m:t>
            </m:r>
            <m:nary>
              <m:naryPr>
                <m:chr m:val="∫"/>
                <m:limLoc m:val="undOvr"/>
                <m:subHide m:val="1"/>
                <m:supHide m:val="1"/>
                <m:ctrlPr>
                  <w:rPr>
                    <w:rFonts w:hint="default" w:ascii="Cambria Math" w:hAnsi="Cambria Math" w:cs="Times New Roman"/>
                    <w:i/>
                    <w:iCs/>
                    <w:color w:val="auto"/>
                    <w:szCs w:val="20"/>
                    <w:highlight w:val="none"/>
                  </w:rPr>
                </m:ctrlPr>
              </m:naryPr>
              <m:sub>
                <m:ctrlPr>
                  <w:rPr>
                    <w:rFonts w:hint="default" w:ascii="Cambria Math" w:hAnsi="Cambria Math" w:cs="Times New Roman"/>
                    <w:i/>
                    <w:iCs/>
                    <w:color w:val="auto"/>
                    <w:szCs w:val="20"/>
                    <w:highlight w:val="none"/>
                  </w:rPr>
                </m:ctrlPr>
              </m:sub>
              <m:sup>
                <m:ctrlPr>
                  <w:rPr>
                    <w:rFonts w:hint="default" w:ascii="Cambria Math" w:hAnsi="Cambria Math" w:cs="Times New Roman"/>
                    <w:i/>
                    <w:iCs/>
                    <w:color w:val="auto"/>
                    <w:szCs w:val="20"/>
                    <w:highlight w:val="none"/>
                  </w:rPr>
                </m:ctrlPr>
              </m:sup>
              <m:e>
                <m:r>
                  <w:rPr>
                    <w:rFonts w:hint="default" w:ascii="Cambria Math" w:hAnsi="Cambria Math" w:cs="Times New Roman"/>
                    <w:color w:val="auto"/>
                    <w:highlight w:val="none"/>
                  </w:rPr>
                  <m:t>-kdt</m:t>
                </m:r>
                <m:ctrlPr>
                  <w:rPr>
                    <w:rFonts w:hint="default" w:ascii="Cambria Math" w:hAnsi="Cambria Math" w:cs="Times New Roman"/>
                    <w:i/>
                    <w:iCs/>
                    <w:color w:val="auto"/>
                    <w:szCs w:val="20"/>
                    <w:highlight w:val="none"/>
                  </w:rPr>
                </m:ctrlPr>
              </m:e>
            </m:nary>
            <m:ctrlPr>
              <w:rPr>
                <w:rFonts w:hint="default" w:ascii="Cambria Math" w:hAnsi="Cambria Math" w:cs="Times New Roman"/>
                <w:i/>
                <w:iCs/>
                <w:color w:val="auto"/>
                <w:szCs w:val="20"/>
                <w:highlight w:val="none"/>
              </w:rPr>
            </m:ctrlPr>
          </m:e>
        </m:nary>
      </m:oMath>
      <w:r>
        <w:rPr>
          <w:rFonts w:hint="default" w:ascii="Times New Roman" w:hAnsi="Times New Roman" w:cs="Times New Roman"/>
          <w:i/>
          <w:iCs/>
          <w:color w:val="auto"/>
          <w:szCs w:val="20"/>
          <w:highlight w:val="none"/>
        </w:rPr>
        <w:t xml:space="preserve"> </w:t>
      </w:r>
      <w:r>
        <w:rPr>
          <w:rFonts w:hint="default" w:ascii="Times New Roman" w:hAnsi="Times New Roman" w:cs="Times New Roman"/>
          <w:color w:val="auto"/>
          <w:szCs w:val="20"/>
          <w:highlight w:val="none"/>
        </w:rPr>
        <w:t xml:space="preserve">                              (3)</w:t>
      </w:r>
    </w:p>
    <w:p>
      <w:pPr>
        <w:autoSpaceDE w:val="0"/>
        <w:autoSpaceDN w:val="0"/>
        <w:adjustRightInd w:val="0"/>
        <w:jc w:val="right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i/>
          <w:iCs/>
          <w:color w:val="auto"/>
          <w:highlight w:val="none"/>
        </w:rPr>
        <w:t xml:space="preserve">LnX=-kt+C </w:t>
      </w:r>
      <w:r>
        <w:rPr>
          <w:rFonts w:hint="default" w:ascii="Times New Roman" w:hAnsi="Times New Roman" w:cs="Times New Roman"/>
          <w:color w:val="auto"/>
          <w:highlight w:val="none"/>
        </w:rPr>
        <w:t xml:space="preserve">                                 (4)</w:t>
      </w:r>
    </w:p>
    <w:p>
      <w:pPr>
        <w:autoSpaceDE w:val="0"/>
        <w:autoSpaceDN w:val="0"/>
        <w:adjustRightInd w:val="0"/>
        <w:jc w:val="right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i/>
          <w:iCs/>
          <w:color w:val="auto"/>
          <w:highlight w:val="none"/>
        </w:rPr>
        <w:t>X=e</w:t>
      </w:r>
      <w:r>
        <w:rPr>
          <w:rFonts w:hint="default" w:ascii="Times New Roman" w:hAnsi="Times New Roman" w:cs="Times New Roman"/>
          <w:i/>
          <w:iCs/>
          <w:color w:val="auto"/>
          <w:highlight w:val="none"/>
          <w:vertAlign w:val="superscript"/>
        </w:rPr>
        <w:t>-kt+C</w:t>
      </w:r>
      <w:r>
        <w:rPr>
          <w:rFonts w:hint="default" w:ascii="Times New Roman" w:hAnsi="Times New Roman" w:cs="Times New Roman"/>
          <w:i/>
          <w:iCs/>
          <w:color w:val="auto"/>
          <w:highlight w:val="none"/>
        </w:rPr>
        <w:t xml:space="preserve">  </w:t>
      </w:r>
      <w:r>
        <w:rPr>
          <w:rFonts w:hint="default" w:ascii="Times New Roman" w:hAnsi="Times New Roman" w:cs="Times New Roman"/>
          <w:color w:val="auto"/>
          <w:highlight w:val="none"/>
        </w:rPr>
        <w:t xml:space="preserve">                                  (5)</w:t>
      </w:r>
    </w:p>
    <w:p>
      <w:pPr>
        <w:autoSpaceDE w:val="0"/>
        <w:autoSpaceDN w:val="0"/>
        <w:adjustRightInd w:val="0"/>
        <w:jc w:val="right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i/>
          <w:iCs/>
          <w:color w:val="auto"/>
          <w:highlight w:val="none"/>
        </w:rPr>
        <w:t>X=e</w:t>
      </w:r>
      <w:r>
        <w:rPr>
          <w:rFonts w:hint="default" w:ascii="Times New Roman" w:hAnsi="Times New Roman" w:cs="Times New Roman"/>
          <w:i/>
          <w:iCs/>
          <w:color w:val="auto"/>
          <w:highlight w:val="none"/>
          <w:vertAlign w:val="superscript"/>
        </w:rPr>
        <w:t>C</w:t>
      </w:r>
      <w:r>
        <w:rPr>
          <w:rFonts w:hint="default" w:ascii="Times New Roman" w:hAnsi="Times New Roman" w:cs="Times New Roman"/>
          <w:i/>
          <w:iCs/>
          <w:color w:val="auto"/>
          <w:highlight w:val="none"/>
        </w:rPr>
        <w:t xml:space="preserve"> e</w:t>
      </w:r>
      <w:r>
        <w:rPr>
          <w:rFonts w:hint="default" w:ascii="Times New Roman" w:hAnsi="Times New Roman" w:cs="Times New Roman"/>
          <w:i/>
          <w:iCs/>
          <w:color w:val="auto"/>
          <w:highlight w:val="none"/>
          <w:vertAlign w:val="superscript"/>
        </w:rPr>
        <w:t>-kt</w:t>
      </w:r>
      <w:r>
        <w:rPr>
          <w:rFonts w:hint="default" w:ascii="Times New Roman" w:hAnsi="Times New Roman" w:cs="Times New Roman"/>
          <w:i/>
          <w:iCs/>
          <w:color w:val="auto"/>
          <w:highlight w:val="none"/>
        </w:rPr>
        <w:t xml:space="preserve"> </w:t>
      </w:r>
      <w:r>
        <w:rPr>
          <w:rFonts w:hint="default" w:ascii="Times New Roman" w:hAnsi="Times New Roman" w:cs="Times New Roman"/>
          <w:color w:val="auto"/>
          <w:highlight w:val="none"/>
        </w:rPr>
        <w:t xml:space="preserve">                                (6)</w:t>
      </w:r>
    </w:p>
    <w:p>
      <w:pPr>
        <w:jc w:val="left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t>The constant “M” is used to instead of e</w:t>
      </w:r>
      <w:r>
        <w:rPr>
          <w:rFonts w:hint="default" w:ascii="Times New Roman" w:hAnsi="Times New Roman" w:cs="Times New Roman"/>
          <w:color w:val="auto"/>
          <w:highlight w:val="none"/>
          <w:vertAlign w:val="superscript"/>
        </w:rPr>
        <w:t>C</w:t>
      </w:r>
    </w:p>
    <w:p>
      <w:pPr>
        <w:jc w:val="right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t xml:space="preserve"> </w:t>
      </w:r>
      <w:r>
        <w:rPr>
          <w:rFonts w:hint="default" w:ascii="Times New Roman" w:hAnsi="Times New Roman" w:cs="Times New Roman"/>
          <w:i/>
          <w:iCs/>
          <w:color w:val="auto"/>
          <w:highlight w:val="none"/>
        </w:rPr>
        <w:t>X=Me</w:t>
      </w:r>
      <w:r>
        <w:rPr>
          <w:rFonts w:hint="default" w:ascii="Times New Roman" w:hAnsi="Times New Roman" w:cs="Times New Roman"/>
          <w:i/>
          <w:iCs/>
          <w:color w:val="auto"/>
          <w:highlight w:val="none"/>
          <w:vertAlign w:val="superscript"/>
        </w:rPr>
        <w:t xml:space="preserve">-kt </w:t>
      </w:r>
      <w:r>
        <w:rPr>
          <w:rFonts w:hint="default" w:ascii="Times New Roman" w:hAnsi="Times New Roman" w:cs="Times New Roman"/>
          <w:color w:val="auto"/>
          <w:highlight w:val="none"/>
        </w:rPr>
        <w:t xml:space="preserve">                                 (7)</w:t>
      </w:r>
    </w:p>
    <w:p>
      <w:pPr>
        <w:jc w:val="center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t xml:space="preserve"> </w:t>
      </w:r>
    </w:p>
    <w:p>
      <w:pPr>
        <w:rPr>
          <w:rFonts w:hint="default" w:ascii="Times New Roman" w:hAnsi="Times New Roman" w:cs="Times New Roman"/>
          <w:iCs/>
          <w:color w:val="auto"/>
          <w:szCs w:val="21"/>
          <w:highlight w:val="none"/>
        </w:rPr>
        <w:sectPr>
          <w:pgSz w:w="11906" w:h="16838"/>
          <w:pgMar w:top="1440" w:right="1803" w:bottom="1440" w:left="1803" w:header="851" w:footer="992" w:gutter="0"/>
          <w:cols w:space="0" w:num="1"/>
          <w:rtlGutter w:val="0"/>
          <w:docGrid w:type="lines" w:linePitch="319" w:charSpace="0"/>
        </w:sectPr>
      </w:pPr>
    </w:p>
    <w:p>
      <w:pPr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drawing>
          <wp:inline distT="0" distB="0" distL="0" distR="0">
            <wp:extent cx="5261610" cy="6183630"/>
            <wp:effectExtent l="0" t="0" r="0" b="0"/>
            <wp:docPr id="10" name="图片 10" descr="H:\唐荣贵\期刊论文\未完成文章\凋落物\调落物部分\投稿1\sigmplot\杨树CN与mass remaining相关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H:\唐荣贵\期刊论文\未完成文章\凋落物\调落物部分\投稿1\sigmplot\杨树CN与mass remaining相关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618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t>Figure S2A</w:t>
      </w:r>
    </w:p>
    <w:p>
      <w:pPr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drawing>
          <wp:inline distT="0" distB="0" distL="0" distR="0">
            <wp:extent cx="5261610" cy="4122420"/>
            <wp:effectExtent l="0" t="0" r="0" b="0"/>
            <wp:docPr id="11" name="图片 11" descr="H:\唐荣贵\期刊论文\未完成文章\凋落物\调落物部分\投稿1\sigmplot\苞斛栎CNand mass remaining相关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H:\唐荣贵\期刊论文\未完成文章\凋落物\调落物部分\投稿1\sigmplot\苞斛栎CNand mass remaining相关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412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t>Figure S2B</w:t>
      </w:r>
    </w:p>
    <w:p>
      <w:pPr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drawing>
          <wp:inline distT="0" distB="0" distL="0" distR="0">
            <wp:extent cx="5261610" cy="4122420"/>
            <wp:effectExtent l="0" t="0" r="0" b="0"/>
            <wp:docPr id="12" name="图片 12" descr="H:\唐荣贵\期刊论文\未完成文章\凋落物\调落物部分\投稿1\sigmplot\杜鹃CN and mass remaining相关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H:\唐荣贵\期刊论文\未完成文章\凋落物\调落物部分\投稿1\sigmplot\杜鹃CN and mass remaining相关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412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t>Figure S2C</w:t>
      </w:r>
    </w:p>
    <w:p>
      <w:pPr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drawing>
          <wp:inline distT="0" distB="0" distL="0" distR="0">
            <wp:extent cx="5261610" cy="4122420"/>
            <wp:effectExtent l="0" t="0" r="0" b="0"/>
            <wp:docPr id="14" name="图片 14" descr="H:\唐荣贵\期刊论文\未完成文章\凋落物\调落物部分\投稿1\sigmplot\桦木叶CN and mass remaining 相关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H:\唐荣贵\期刊论文\未完成文章\凋落物\调落物部分\投稿1\sigmplot\桦木叶CN and mass remaining 相关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412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t>Figure S2D</w:t>
      </w:r>
    </w:p>
    <w:p>
      <w:pPr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Figure S2A-D. The correlation relationship between C and N release of different species and mass remaining of litters.</w:t>
      </w:r>
    </w:p>
    <w:p>
      <w:pPr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>
      <w:pPr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>
      <w:pPr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>
      <w:pPr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rPr>
          <w:rFonts w:hint="default" w:ascii="Times New Roman" w:hAnsi="Times New Roman" w:cs="Times New Roman"/>
          <w:b/>
          <w:color w:val="auto"/>
          <w:highlight w:val="none"/>
        </w:rPr>
      </w:pPr>
      <w:r>
        <w:rPr>
          <w:rFonts w:hint="default" w:ascii="Times New Roman" w:hAnsi="Times New Roman" w:cs="Times New Roman"/>
          <w:b/>
          <w:color w:val="auto"/>
          <w:highlight w:val="none"/>
        </w:rPr>
        <w:t xml:space="preserve">References </w:t>
      </w:r>
    </w:p>
    <w:p>
      <w:pPr>
        <w:ind w:left="720" w:hanging="720"/>
        <w:rPr>
          <w:rFonts w:hint="default" w:ascii="Times New Roman" w:hAnsi="Times New Roman" w:cs="Times New Roman"/>
          <w:color w:val="auto"/>
          <w:sz w:val="20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fldChar w:fldCharType="begin"/>
      </w:r>
      <w:r>
        <w:rPr>
          <w:rFonts w:hint="default" w:ascii="Times New Roman" w:hAnsi="Times New Roman" w:cs="Times New Roman"/>
          <w:color w:val="auto"/>
          <w:highlight w:val="none"/>
        </w:rPr>
        <w:instrText xml:space="preserve"> ADDIN EN.REFLIST </w:instrText>
      </w:r>
      <w:r>
        <w:rPr>
          <w:rFonts w:hint="default" w:ascii="Times New Roman" w:hAnsi="Times New Roman" w:cs="Times New Roman"/>
          <w:color w:val="auto"/>
          <w:highlight w:val="none"/>
        </w:rPr>
        <w:fldChar w:fldCharType="separate"/>
      </w:r>
      <w:r>
        <w:rPr>
          <w:rFonts w:hint="default" w:ascii="Times New Roman" w:hAnsi="Times New Roman" w:cs="Times New Roman"/>
          <w:color w:val="auto"/>
          <w:sz w:val="20"/>
          <w:highlight w:val="none"/>
        </w:rPr>
        <w:t>Adair EC, Parton WJ, Del Grosso SJ</w:t>
      </w:r>
      <w:r>
        <w:rPr>
          <w:rFonts w:hint="default" w:ascii="Times New Roman" w:hAnsi="Times New Roman" w:cs="Times New Roman"/>
          <w:i/>
          <w:color w:val="auto"/>
          <w:sz w:val="20"/>
          <w:highlight w:val="none"/>
        </w:rPr>
        <w:t xml:space="preserve"> et al.</w:t>
      </w:r>
      <w:r>
        <w:rPr>
          <w:rFonts w:hint="default" w:ascii="Times New Roman" w:hAnsi="Times New Roman" w:cs="Times New Roman"/>
          <w:color w:val="auto"/>
          <w:sz w:val="20"/>
          <w:highlight w:val="none"/>
        </w:rPr>
        <w:t xml:space="preserve"> (2008) </w:t>
      </w:r>
      <w:bookmarkStart w:id="24" w:name="OLE_LINK9"/>
      <w:r>
        <w:rPr>
          <w:rFonts w:hint="default" w:ascii="Times New Roman" w:hAnsi="Times New Roman" w:cs="Times New Roman"/>
          <w:color w:val="auto"/>
          <w:sz w:val="20"/>
          <w:highlight w:val="none"/>
        </w:rPr>
        <w:t>Simple three‐pool model accurately describes patterns of long‐term litter decomposition in diverse climates</w:t>
      </w:r>
      <w:bookmarkEnd w:id="24"/>
      <w:r>
        <w:rPr>
          <w:rFonts w:hint="default" w:ascii="Times New Roman" w:hAnsi="Times New Roman" w:cs="Times New Roman"/>
          <w:color w:val="auto"/>
          <w:sz w:val="20"/>
          <w:highlight w:val="none"/>
        </w:rPr>
        <w:t>. Global Change Biology</w:t>
      </w:r>
      <w:r>
        <w:rPr>
          <w:rFonts w:hint="default" w:ascii="Times New Roman" w:hAnsi="Times New Roman" w:cs="Times New Roman"/>
          <w:i/>
          <w:color w:val="auto"/>
          <w:sz w:val="20"/>
          <w:highlight w:val="none"/>
        </w:rPr>
        <w:t>,</w:t>
      </w:r>
      <w:r>
        <w:rPr>
          <w:rFonts w:hint="default" w:ascii="Times New Roman" w:hAnsi="Times New Roman" w:cs="Times New Roman"/>
          <w:color w:val="auto"/>
          <w:sz w:val="20"/>
          <w:highlight w:val="none"/>
        </w:rPr>
        <w:t xml:space="preserve"> </w:t>
      </w:r>
      <w:r>
        <w:rPr>
          <w:rFonts w:hint="default" w:ascii="Times New Roman" w:hAnsi="Times New Roman" w:cs="Times New Roman"/>
          <w:b/>
          <w:color w:val="auto"/>
          <w:sz w:val="20"/>
          <w:highlight w:val="none"/>
        </w:rPr>
        <w:t>14</w:t>
      </w:r>
      <w:r>
        <w:rPr>
          <w:rFonts w:hint="default" w:ascii="Times New Roman" w:hAnsi="Times New Roman" w:cs="Times New Roman"/>
          <w:color w:val="auto"/>
          <w:sz w:val="20"/>
          <w:highlight w:val="none"/>
        </w:rPr>
        <w:t>, 2636-2660.</w:t>
      </w:r>
    </w:p>
    <w:p>
      <w:pPr>
        <w:ind w:left="720" w:hanging="720"/>
        <w:rPr>
          <w:rFonts w:hint="default" w:ascii="Times New Roman" w:hAnsi="Times New Roman" w:cs="Times New Roman"/>
          <w:color w:val="auto"/>
          <w:sz w:val="20"/>
          <w:highlight w:val="none"/>
        </w:rPr>
      </w:pPr>
      <w:bookmarkStart w:id="25" w:name="_ENREF_2"/>
      <w:r>
        <w:rPr>
          <w:rFonts w:hint="default" w:ascii="Times New Roman" w:hAnsi="Times New Roman" w:cs="Times New Roman"/>
          <w:color w:val="auto"/>
          <w:sz w:val="20"/>
          <w:highlight w:val="none"/>
        </w:rPr>
        <w:t>Olson JS (1963) Energy storage and the balance of producers and decomposers in ecological systems. Ecology</w:t>
      </w:r>
      <w:r>
        <w:rPr>
          <w:rFonts w:hint="default" w:ascii="Times New Roman" w:hAnsi="Times New Roman" w:cs="Times New Roman"/>
          <w:i/>
          <w:color w:val="auto"/>
          <w:sz w:val="20"/>
          <w:highlight w:val="none"/>
        </w:rPr>
        <w:t>,</w:t>
      </w:r>
      <w:r>
        <w:rPr>
          <w:rFonts w:hint="default" w:ascii="Times New Roman" w:hAnsi="Times New Roman" w:cs="Times New Roman"/>
          <w:color w:val="auto"/>
          <w:sz w:val="20"/>
          <w:highlight w:val="none"/>
        </w:rPr>
        <w:t xml:space="preserve"> </w:t>
      </w:r>
      <w:r>
        <w:rPr>
          <w:rFonts w:hint="default" w:ascii="Times New Roman" w:hAnsi="Times New Roman" w:cs="Times New Roman"/>
          <w:b/>
          <w:color w:val="auto"/>
          <w:sz w:val="20"/>
          <w:highlight w:val="none"/>
        </w:rPr>
        <w:t>44</w:t>
      </w:r>
      <w:r>
        <w:rPr>
          <w:rFonts w:hint="default" w:ascii="Times New Roman" w:hAnsi="Times New Roman" w:cs="Times New Roman"/>
          <w:color w:val="auto"/>
          <w:sz w:val="20"/>
          <w:highlight w:val="none"/>
        </w:rPr>
        <w:t>, 322-331.</w:t>
      </w:r>
      <w:bookmarkEnd w:id="25"/>
    </w:p>
    <w:p>
      <w:pPr>
        <w:ind w:left="720" w:hanging="720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fldChar w:fldCharType="end"/>
      </w:r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Mincho">
    <w:altName w:val="ESRI AMFM Electric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F4945"/>
    <w:multiLevelType w:val="multilevel"/>
    <w:tmpl w:val="077F4945"/>
    <w:lvl w:ilvl="0" w:tentative="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2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lant and Soil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xxxtxr093xr2slexzaov0rrix2xt0vedwfxx&quot;&gt;litter decomposition&lt;record-ids&gt;&lt;item&gt;108&lt;/item&gt;&lt;/record-ids&gt;&lt;/item&gt;&lt;/Libraries&gt;"/>
  </w:docVars>
  <w:rsids>
    <w:rsidRoot w:val="00051AF5"/>
    <w:rsid w:val="0000233F"/>
    <w:rsid w:val="00012A07"/>
    <w:rsid w:val="00025484"/>
    <w:rsid w:val="00026312"/>
    <w:rsid w:val="00026476"/>
    <w:rsid w:val="00051AF5"/>
    <w:rsid w:val="00054E58"/>
    <w:rsid w:val="00086388"/>
    <w:rsid w:val="0008639F"/>
    <w:rsid w:val="0009010A"/>
    <w:rsid w:val="000978CA"/>
    <w:rsid w:val="000A259A"/>
    <w:rsid w:val="000A2EE1"/>
    <w:rsid w:val="000B6B6E"/>
    <w:rsid w:val="000D1EF4"/>
    <w:rsid w:val="000D2AFB"/>
    <w:rsid w:val="000E0FE6"/>
    <w:rsid w:val="0011458E"/>
    <w:rsid w:val="001371A3"/>
    <w:rsid w:val="001414A9"/>
    <w:rsid w:val="001962E4"/>
    <w:rsid w:val="001A1331"/>
    <w:rsid w:val="001A5DE4"/>
    <w:rsid w:val="001B6129"/>
    <w:rsid w:val="001C1592"/>
    <w:rsid w:val="001D38E6"/>
    <w:rsid w:val="001D7970"/>
    <w:rsid w:val="001F5604"/>
    <w:rsid w:val="001F6210"/>
    <w:rsid w:val="00213D48"/>
    <w:rsid w:val="00227F77"/>
    <w:rsid w:val="002404C5"/>
    <w:rsid w:val="00246321"/>
    <w:rsid w:val="0025437B"/>
    <w:rsid w:val="00285B86"/>
    <w:rsid w:val="00295254"/>
    <w:rsid w:val="00295918"/>
    <w:rsid w:val="002E0286"/>
    <w:rsid w:val="002F2EAF"/>
    <w:rsid w:val="00307BC8"/>
    <w:rsid w:val="003319FD"/>
    <w:rsid w:val="0034266F"/>
    <w:rsid w:val="003561BD"/>
    <w:rsid w:val="00362E05"/>
    <w:rsid w:val="0037274F"/>
    <w:rsid w:val="00373896"/>
    <w:rsid w:val="003B3B1D"/>
    <w:rsid w:val="003F3242"/>
    <w:rsid w:val="00403280"/>
    <w:rsid w:val="00427E90"/>
    <w:rsid w:val="00460A04"/>
    <w:rsid w:val="004802C1"/>
    <w:rsid w:val="0049723A"/>
    <w:rsid w:val="004A5BED"/>
    <w:rsid w:val="004B4276"/>
    <w:rsid w:val="004C5A6C"/>
    <w:rsid w:val="004E2AD4"/>
    <w:rsid w:val="004E7852"/>
    <w:rsid w:val="004F633C"/>
    <w:rsid w:val="005037AE"/>
    <w:rsid w:val="0052138D"/>
    <w:rsid w:val="00533BFC"/>
    <w:rsid w:val="0054064E"/>
    <w:rsid w:val="00565A42"/>
    <w:rsid w:val="005748F0"/>
    <w:rsid w:val="00576E2E"/>
    <w:rsid w:val="00592436"/>
    <w:rsid w:val="005E0C5D"/>
    <w:rsid w:val="005F3B0F"/>
    <w:rsid w:val="005F67C5"/>
    <w:rsid w:val="0060256D"/>
    <w:rsid w:val="00602BEC"/>
    <w:rsid w:val="00623E01"/>
    <w:rsid w:val="00656200"/>
    <w:rsid w:val="00663B19"/>
    <w:rsid w:val="00682C24"/>
    <w:rsid w:val="00684B1A"/>
    <w:rsid w:val="006A00CF"/>
    <w:rsid w:val="006A78E8"/>
    <w:rsid w:val="006B2C76"/>
    <w:rsid w:val="006C716E"/>
    <w:rsid w:val="006D4693"/>
    <w:rsid w:val="006F0373"/>
    <w:rsid w:val="00713D87"/>
    <w:rsid w:val="00721EF3"/>
    <w:rsid w:val="00733AAA"/>
    <w:rsid w:val="0075438F"/>
    <w:rsid w:val="00764D9B"/>
    <w:rsid w:val="007742F7"/>
    <w:rsid w:val="00795813"/>
    <w:rsid w:val="007A04C2"/>
    <w:rsid w:val="007A31CC"/>
    <w:rsid w:val="007D68D3"/>
    <w:rsid w:val="007D7049"/>
    <w:rsid w:val="007E011A"/>
    <w:rsid w:val="007E69D9"/>
    <w:rsid w:val="007F103D"/>
    <w:rsid w:val="00833D03"/>
    <w:rsid w:val="008574E8"/>
    <w:rsid w:val="0087231C"/>
    <w:rsid w:val="00875021"/>
    <w:rsid w:val="008E4F16"/>
    <w:rsid w:val="00910DFD"/>
    <w:rsid w:val="00925933"/>
    <w:rsid w:val="00945371"/>
    <w:rsid w:val="00952E7B"/>
    <w:rsid w:val="009631A2"/>
    <w:rsid w:val="00965082"/>
    <w:rsid w:val="00971E62"/>
    <w:rsid w:val="009B42CF"/>
    <w:rsid w:val="009C1A34"/>
    <w:rsid w:val="009D1E66"/>
    <w:rsid w:val="009D667A"/>
    <w:rsid w:val="009F174D"/>
    <w:rsid w:val="00A179E3"/>
    <w:rsid w:val="00A25BBC"/>
    <w:rsid w:val="00A31E9D"/>
    <w:rsid w:val="00A5598E"/>
    <w:rsid w:val="00A7080A"/>
    <w:rsid w:val="00A733E0"/>
    <w:rsid w:val="00A803CC"/>
    <w:rsid w:val="00A959F8"/>
    <w:rsid w:val="00AD3695"/>
    <w:rsid w:val="00AD4E86"/>
    <w:rsid w:val="00AE4067"/>
    <w:rsid w:val="00AE4E04"/>
    <w:rsid w:val="00AF37D5"/>
    <w:rsid w:val="00B041C9"/>
    <w:rsid w:val="00B06022"/>
    <w:rsid w:val="00B12B44"/>
    <w:rsid w:val="00B44737"/>
    <w:rsid w:val="00B75C41"/>
    <w:rsid w:val="00BC0E23"/>
    <w:rsid w:val="00BD0583"/>
    <w:rsid w:val="00C02A62"/>
    <w:rsid w:val="00C1339B"/>
    <w:rsid w:val="00C152CC"/>
    <w:rsid w:val="00C21CA0"/>
    <w:rsid w:val="00C35BB9"/>
    <w:rsid w:val="00C3721D"/>
    <w:rsid w:val="00C912E7"/>
    <w:rsid w:val="00C94280"/>
    <w:rsid w:val="00CA4D3C"/>
    <w:rsid w:val="00CA7584"/>
    <w:rsid w:val="00CB7CEC"/>
    <w:rsid w:val="00CF4481"/>
    <w:rsid w:val="00CF5EA1"/>
    <w:rsid w:val="00CF715F"/>
    <w:rsid w:val="00D06E27"/>
    <w:rsid w:val="00D07EF8"/>
    <w:rsid w:val="00D15211"/>
    <w:rsid w:val="00D352A2"/>
    <w:rsid w:val="00D67439"/>
    <w:rsid w:val="00DB21CF"/>
    <w:rsid w:val="00DC6701"/>
    <w:rsid w:val="00DD73C4"/>
    <w:rsid w:val="00DF2A59"/>
    <w:rsid w:val="00E1433C"/>
    <w:rsid w:val="00E22384"/>
    <w:rsid w:val="00E4045B"/>
    <w:rsid w:val="00E52127"/>
    <w:rsid w:val="00E6264F"/>
    <w:rsid w:val="00E70896"/>
    <w:rsid w:val="00E86E0A"/>
    <w:rsid w:val="00E91F7A"/>
    <w:rsid w:val="00EF0763"/>
    <w:rsid w:val="00F004D0"/>
    <w:rsid w:val="00F038C1"/>
    <w:rsid w:val="00F16EAE"/>
    <w:rsid w:val="00F17025"/>
    <w:rsid w:val="00F4341B"/>
    <w:rsid w:val="00F44C51"/>
    <w:rsid w:val="00F519B7"/>
    <w:rsid w:val="00F729C6"/>
    <w:rsid w:val="00F83819"/>
    <w:rsid w:val="00F932A0"/>
    <w:rsid w:val="00FB5897"/>
    <w:rsid w:val="00FC508E"/>
    <w:rsid w:val="00FD08BF"/>
    <w:rsid w:val="00FF06A3"/>
    <w:rsid w:val="00FF3A80"/>
    <w:rsid w:val="00FF597B"/>
    <w:rsid w:val="03F76318"/>
    <w:rsid w:val="083A4161"/>
    <w:rsid w:val="0DF00EF9"/>
    <w:rsid w:val="1DB06E20"/>
    <w:rsid w:val="1F4201C6"/>
    <w:rsid w:val="21850B7B"/>
    <w:rsid w:val="21B918DA"/>
    <w:rsid w:val="224A2962"/>
    <w:rsid w:val="25D40295"/>
    <w:rsid w:val="2EAE3DBA"/>
    <w:rsid w:val="316E2AC6"/>
    <w:rsid w:val="370602A2"/>
    <w:rsid w:val="47BA179A"/>
    <w:rsid w:val="497A2F53"/>
    <w:rsid w:val="49977BE1"/>
    <w:rsid w:val="4B766560"/>
    <w:rsid w:val="4CD826B1"/>
    <w:rsid w:val="56802DB1"/>
    <w:rsid w:val="56E839F0"/>
    <w:rsid w:val="5F4F1A78"/>
    <w:rsid w:val="60377613"/>
    <w:rsid w:val="67064006"/>
    <w:rsid w:val="69996FEB"/>
    <w:rsid w:val="69A4515C"/>
    <w:rsid w:val="6F3042B8"/>
    <w:rsid w:val="71EE3AD1"/>
    <w:rsid w:val="72213E44"/>
    <w:rsid w:val="72A57A2D"/>
    <w:rsid w:val="76D329F7"/>
    <w:rsid w:val="78D73F08"/>
    <w:rsid w:val="7A051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rPr>
      <w:sz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9">
    <w:name w:val="FollowedHyperlink"/>
    <w:basedOn w:val="8"/>
    <w:semiHidden/>
    <w:unhideWhenUsed/>
    <w:qFormat/>
    <w:uiPriority w:val="99"/>
    <w:rPr>
      <w:color w:val="800080"/>
      <w:u w:val="single"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3">
    <w:name w:val="批注框文本 字符"/>
    <w:basedOn w:val="8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  <w:szCs w:val="20"/>
    </w:rPr>
  </w:style>
  <w:style w:type="character" w:customStyle="1" w:styleId="15">
    <w:name w:val="font21"/>
    <w:basedOn w:val="8"/>
    <w:qFormat/>
    <w:uiPriority w:val="0"/>
    <w:rPr>
      <w:rFonts w:hint="eastAsia" w:ascii="宋体" w:hAnsi="宋体" w:eastAsia="宋体" w:cs="宋体"/>
      <w:i/>
      <w:color w:val="000000"/>
      <w:sz w:val="21"/>
      <w:szCs w:val="21"/>
      <w:u w:val="none"/>
      <w:vertAlign w:val="subscript"/>
    </w:rPr>
  </w:style>
  <w:style w:type="character" w:customStyle="1" w:styleId="16">
    <w:name w:val="font11"/>
    <w:basedOn w:val="8"/>
    <w:qFormat/>
    <w:uiPriority w:val="0"/>
    <w:rPr>
      <w:rFonts w:hint="eastAsia" w:ascii="宋体" w:hAnsi="宋体" w:eastAsia="宋体" w:cs="宋体"/>
      <w:i/>
      <w:color w:val="000000"/>
      <w:sz w:val="21"/>
      <w:szCs w:val="21"/>
      <w:u w:val="none"/>
      <w:vertAlign w:val="superscript"/>
    </w:rPr>
  </w:style>
  <w:style w:type="paragraph" w:customStyle="1" w:styleId="17">
    <w:name w:val="EndNote Bibliography Title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</w:pPr>
    <w:rPr>
      <w:rFonts w:ascii="Calibri" w:hAnsi="Calibri" w:eastAsia="宋体" w:cs="Calibri"/>
      <w:kern w:val="2"/>
      <w:szCs w:val="22"/>
      <w:lang w:val="en-US" w:eastAsia="zh-CN" w:bidi="ar-SA"/>
    </w:rPr>
  </w:style>
  <w:style w:type="paragraph" w:customStyle="1" w:styleId="18">
    <w:name w:val="EndNote Bibliography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Calibri" w:hAnsi="Calibri" w:eastAsia="宋体" w:cs="Calibri"/>
      <w:kern w:val="2"/>
      <w:szCs w:val="22"/>
      <w:lang w:val="en-US" w:eastAsia="zh-CN" w:bidi="ar-SA"/>
    </w:rPr>
  </w:style>
  <w:style w:type="paragraph" w:customStyle="1" w:styleId="19">
    <w:name w:val="msolist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Times New Roman" w:hAnsi="Times New Roman" w:eastAsia="宋体" w:cs="Times New Roman"/>
      <w:kern w:val="2"/>
      <w:sz w:val="21"/>
      <w:szCs w:val="20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1289</Words>
  <Characters>7352</Characters>
  <Lines>61</Lines>
  <Paragraphs>17</Paragraphs>
  <TotalTime>0</TotalTime>
  <ScaleCrop>false</ScaleCrop>
  <LinksUpToDate>false</LinksUpToDate>
  <CharactersWithSpaces>8624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2015-11-13T08:40:00Z</dcterms:created>
  <dc:creator>unknown</dc:creator>
  <cp:lastModifiedBy>荣贵</cp:lastModifiedBy>
  <dcterms:modified xsi:type="dcterms:W3CDTF">2021-01-13T06:18:20Z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