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F4E" w:rsidRPr="00565CFB" w:rsidRDefault="00130F4E" w:rsidP="00130F4E">
      <w:pPr>
        <w:autoSpaceDE w:val="0"/>
        <w:autoSpaceDN w:val="0"/>
        <w:adjustRightInd w:val="0"/>
        <w:spacing w:after="0" w:line="480" w:lineRule="auto"/>
        <w:rPr>
          <w:rFonts w:ascii="Times New Roman" w:eastAsia="Calibri" w:hAnsi="Times New Roman" w:cs="Times New Roman"/>
          <w:sz w:val="20"/>
          <w:szCs w:val="20"/>
          <w:lang w:bidi="th-TH"/>
        </w:rPr>
      </w:pPr>
      <w:r w:rsidRPr="00565CFB">
        <w:rPr>
          <w:rFonts w:ascii="Times New Roman" w:eastAsia="Calibri" w:hAnsi="Times New Roman" w:cs="Times New Roman"/>
          <w:sz w:val="20"/>
          <w:szCs w:val="20"/>
          <w:lang w:bidi="th-TH"/>
        </w:rPr>
        <w:t xml:space="preserve">Supplementary </w:t>
      </w:r>
      <w:r>
        <w:rPr>
          <w:rFonts w:ascii="Times New Roman" w:eastAsia="Calibri" w:hAnsi="Times New Roman" w:cs="Times New Roman"/>
          <w:sz w:val="20"/>
          <w:szCs w:val="20"/>
          <w:lang w:bidi="th-TH"/>
        </w:rPr>
        <w:t>T</w:t>
      </w:r>
      <w:r w:rsidRPr="00565CFB">
        <w:rPr>
          <w:rFonts w:ascii="Times New Roman" w:eastAsia="Calibri" w:hAnsi="Times New Roman" w:cs="Times New Roman"/>
          <w:sz w:val="20"/>
          <w:szCs w:val="20"/>
          <w:lang w:bidi="th-TH"/>
        </w:rPr>
        <w:t>able 1</w:t>
      </w:r>
      <w:r>
        <w:rPr>
          <w:rFonts w:ascii="Times New Roman" w:eastAsia="Calibri" w:hAnsi="Times New Roman" w:cs="Times New Roman"/>
          <w:sz w:val="20"/>
          <w:szCs w:val="20"/>
          <w:lang w:bidi="th-TH"/>
        </w:rPr>
        <w:t>.</w:t>
      </w:r>
      <w:r w:rsidRPr="00565CFB">
        <w:rPr>
          <w:rFonts w:ascii="Times New Roman" w:eastAsia="Calibri" w:hAnsi="Times New Roman" w:cs="Times New Roman"/>
          <w:sz w:val="20"/>
          <w:szCs w:val="20"/>
          <w:lang w:bidi="th-TH"/>
        </w:rPr>
        <w:t xml:space="preserve"> Cumulative adverse events </w:t>
      </w:r>
      <w:r>
        <w:rPr>
          <w:rFonts w:ascii="Times New Roman" w:eastAsia="Calibri" w:hAnsi="Times New Roman" w:cs="Times New Roman"/>
          <w:sz w:val="20"/>
          <w:szCs w:val="20"/>
          <w:lang w:bidi="th-TH"/>
        </w:rPr>
        <w:t xml:space="preserve">from 1 week to the last follow-up </w:t>
      </w:r>
      <w:r w:rsidRPr="00565CFB">
        <w:rPr>
          <w:rFonts w:ascii="Times New Roman" w:eastAsia="Calibri" w:hAnsi="Times New Roman" w:cs="Times New Roman"/>
          <w:sz w:val="20"/>
          <w:szCs w:val="20"/>
          <w:lang w:bidi="th-TH"/>
        </w:rPr>
        <w:t>visit.</w:t>
      </w:r>
      <w:r w:rsidRPr="00565CFB">
        <w:rPr>
          <w:rFonts w:ascii="Times New Roman" w:eastAsia="Calibri" w:hAnsi="Times New Roman" w:cs="Times New Roman"/>
          <w:sz w:val="20"/>
          <w:szCs w:val="20"/>
          <w:vertAlign w:val="superscript"/>
          <w:lang w:bidi="th-TH"/>
        </w:rPr>
        <w:t>*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1309"/>
      </w:tblGrid>
      <w:tr w:rsidR="00130F4E" w:rsidRPr="00565CFB" w:rsidTr="005454D2">
        <w:tc>
          <w:tcPr>
            <w:tcW w:w="4361" w:type="dxa"/>
            <w:shd w:val="clear" w:color="auto" w:fill="E7E6E6"/>
          </w:tcPr>
          <w:p w:rsidR="00130F4E" w:rsidRPr="00565CFB" w:rsidRDefault="00130F4E" w:rsidP="005454D2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Event (%)</w:t>
            </w:r>
          </w:p>
        </w:tc>
        <w:tc>
          <w:tcPr>
            <w:tcW w:w="1309" w:type="dxa"/>
            <w:shd w:val="clear" w:color="auto" w:fill="E7E6E6"/>
          </w:tcPr>
          <w:p w:rsidR="00130F4E" w:rsidRPr="00565CFB" w:rsidRDefault="00130F4E" w:rsidP="005454D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Total (n=59)</w:t>
            </w:r>
          </w:p>
        </w:tc>
      </w:tr>
      <w:tr w:rsidR="00130F4E" w:rsidRPr="00565CFB" w:rsidTr="005454D2">
        <w:tc>
          <w:tcPr>
            <w:tcW w:w="4361" w:type="dxa"/>
          </w:tcPr>
          <w:p w:rsidR="00130F4E" w:rsidRPr="00565CFB" w:rsidRDefault="00130F4E" w:rsidP="005454D2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Hyperglycemia</w:t>
            </w:r>
          </w:p>
        </w:tc>
        <w:tc>
          <w:tcPr>
            <w:tcW w:w="1309" w:type="dxa"/>
          </w:tcPr>
          <w:p w:rsidR="00130F4E" w:rsidRPr="00565CFB" w:rsidRDefault="00130F4E" w:rsidP="005454D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42 (71.19)</w:t>
            </w:r>
          </w:p>
        </w:tc>
      </w:tr>
      <w:tr w:rsidR="00130F4E" w:rsidRPr="00565CFB" w:rsidTr="005454D2">
        <w:tc>
          <w:tcPr>
            <w:tcW w:w="4361" w:type="dxa"/>
          </w:tcPr>
          <w:p w:rsidR="00130F4E" w:rsidRPr="00565CFB" w:rsidRDefault="00130F4E" w:rsidP="005454D2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Gastrointestinal symptoms</w:t>
            </w:r>
            <w:r w:rsidRPr="00565CFB"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t>†</w:t>
            </w:r>
          </w:p>
        </w:tc>
        <w:tc>
          <w:tcPr>
            <w:tcW w:w="1309" w:type="dxa"/>
          </w:tcPr>
          <w:p w:rsidR="00130F4E" w:rsidRPr="00565CFB" w:rsidRDefault="00130F4E" w:rsidP="005454D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3 (5.08)</w:t>
            </w:r>
          </w:p>
        </w:tc>
      </w:tr>
      <w:tr w:rsidR="00130F4E" w:rsidRPr="00565CFB" w:rsidTr="005454D2">
        <w:tc>
          <w:tcPr>
            <w:tcW w:w="4361" w:type="dxa"/>
          </w:tcPr>
          <w:p w:rsidR="00130F4E" w:rsidRPr="00565CFB" w:rsidRDefault="00130F4E" w:rsidP="005454D2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565CF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Development of </w:t>
            </w: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c</w:t>
            </w:r>
            <w:r w:rsidRPr="00565CFB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ushingoid features</w:t>
            </w:r>
            <w:r w:rsidRPr="00565CFB">
              <w:rPr>
                <w:rFonts w:ascii="Times New Roman" w:eastAsia="Calibri" w:hAnsi="Times New Roman" w:cs="Times New Roman"/>
                <w:color w:val="000000"/>
                <w:szCs w:val="24"/>
                <w:vertAlign w:val="superscript"/>
              </w:rPr>
              <w:t>‡</w:t>
            </w:r>
          </w:p>
        </w:tc>
        <w:tc>
          <w:tcPr>
            <w:tcW w:w="1309" w:type="dxa"/>
          </w:tcPr>
          <w:p w:rsidR="00130F4E" w:rsidRPr="00565CFB" w:rsidRDefault="00130F4E" w:rsidP="005454D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3 (5.08)</w:t>
            </w:r>
          </w:p>
        </w:tc>
      </w:tr>
      <w:tr w:rsidR="00130F4E" w:rsidRPr="00565CFB" w:rsidTr="005454D2">
        <w:tc>
          <w:tcPr>
            <w:tcW w:w="4361" w:type="dxa"/>
          </w:tcPr>
          <w:p w:rsidR="00130F4E" w:rsidRPr="00565CFB" w:rsidRDefault="00130F4E" w:rsidP="005454D2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Serious infections</w:t>
            </w:r>
            <w:r w:rsidRPr="00565CFB"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t>§</w:t>
            </w:r>
          </w:p>
        </w:tc>
        <w:tc>
          <w:tcPr>
            <w:tcW w:w="1309" w:type="dxa"/>
          </w:tcPr>
          <w:p w:rsidR="00130F4E" w:rsidRPr="00565CFB" w:rsidRDefault="00130F4E" w:rsidP="005454D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30F4E" w:rsidRPr="00565CFB" w:rsidTr="005454D2">
        <w:tc>
          <w:tcPr>
            <w:tcW w:w="4361" w:type="dxa"/>
          </w:tcPr>
          <w:p w:rsidR="00130F4E" w:rsidRPr="00565CFB" w:rsidRDefault="00130F4E" w:rsidP="005454D2">
            <w:pPr>
              <w:spacing w:line="48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Steroid-induced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g</w:t>
            </w: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laucoma</w:t>
            </w:r>
            <w:r w:rsidRPr="00565CFB"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t>¶</w:t>
            </w:r>
          </w:p>
        </w:tc>
        <w:tc>
          <w:tcPr>
            <w:tcW w:w="1309" w:type="dxa"/>
          </w:tcPr>
          <w:p w:rsidR="00130F4E" w:rsidRPr="00565CFB" w:rsidRDefault="00130F4E" w:rsidP="005454D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65CF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</w:tr>
    </w:tbl>
    <w:p w:rsidR="00130F4E" w:rsidRPr="00565CFB" w:rsidRDefault="00130F4E" w:rsidP="00130F4E">
      <w:pPr>
        <w:spacing w:after="0" w:line="480" w:lineRule="auto"/>
        <w:rPr>
          <w:rFonts w:ascii="Times New Roman" w:eastAsia="Times New Roman" w:hAnsi="Times New Roman" w:cs="Times New Roman"/>
          <w:sz w:val="18"/>
          <w:szCs w:val="18"/>
          <w:lang w:bidi="th-TH"/>
        </w:rPr>
      </w:pP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>*The cumulative adverse events recorded from 1</w:t>
      </w:r>
      <w:r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 </w:t>
      </w: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>week to last follow-up visit at 6</w:t>
      </w:r>
      <w:r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 </w:t>
      </w: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>months. Hyperglycemia defined as capillary blood glucose &gt;180 milligrams per deciliter (mg/d</w:t>
      </w:r>
      <w:r>
        <w:rPr>
          <w:rFonts w:ascii="Times New Roman" w:eastAsia="Times New Roman" w:hAnsi="Times New Roman" w:cs="Times New Roman"/>
          <w:sz w:val="18"/>
          <w:szCs w:val="18"/>
          <w:lang w:bidi="th-TH"/>
        </w:rPr>
        <w:t>L</w:t>
      </w: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>).</w:t>
      </w:r>
    </w:p>
    <w:p w:rsidR="00130F4E" w:rsidRPr="00565CFB" w:rsidRDefault="00130F4E" w:rsidP="00130F4E">
      <w:pPr>
        <w:spacing w:after="0" w:line="480" w:lineRule="auto"/>
        <w:rPr>
          <w:rFonts w:ascii="Times New Roman" w:eastAsia="Times New Roman" w:hAnsi="Times New Roman" w:cs="Times New Roman"/>
          <w:sz w:val="18"/>
          <w:szCs w:val="18"/>
          <w:lang w:bidi="th-TH"/>
        </w:rPr>
      </w:pPr>
      <w:r w:rsidRPr="00565CFB">
        <w:rPr>
          <w:rFonts w:ascii="Times New Roman" w:eastAsia="Times New Roman" w:hAnsi="Times New Roman" w:cs="Times New Roman"/>
          <w:sz w:val="24"/>
          <w:szCs w:val="24"/>
          <w:lang w:bidi="th-TH"/>
        </w:rPr>
        <w:t>†</w:t>
      </w: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 This category of minor gastrointestinal related-symptoms included</w:t>
      </w:r>
      <w:r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 a</w:t>
      </w:r>
      <w:r w:rsidRPr="006E4142"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bdominal distention, </w:t>
      </w:r>
      <w:r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abdominal discomfort, </w:t>
      </w:r>
      <w:r w:rsidRPr="006E4142">
        <w:rPr>
          <w:rFonts w:ascii="Times New Roman" w:eastAsia="Times New Roman" w:hAnsi="Times New Roman" w:cs="Times New Roman"/>
          <w:sz w:val="18"/>
          <w:szCs w:val="18"/>
          <w:lang w:bidi="th-TH"/>
        </w:rPr>
        <w:t>hiccups, increased appetite, nausea,</w:t>
      </w:r>
      <w:r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 vomiting. </w:t>
      </w:r>
    </w:p>
    <w:p w:rsidR="00130F4E" w:rsidRPr="00565CFB" w:rsidRDefault="00130F4E" w:rsidP="00130F4E">
      <w:pPr>
        <w:spacing w:after="0" w:line="480" w:lineRule="auto"/>
        <w:rPr>
          <w:rFonts w:ascii="Times New Roman" w:eastAsia="Times New Roman" w:hAnsi="Times New Roman" w:cs="Times New Roman"/>
          <w:sz w:val="18"/>
          <w:szCs w:val="18"/>
          <w:lang w:bidi="th-TH"/>
        </w:rPr>
      </w:pPr>
      <w:r w:rsidRPr="00565CFB">
        <w:rPr>
          <w:rFonts w:ascii="Times New Roman" w:eastAsia="Times New Roman" w:hAnsi="Times New Roman" w:cs="Times New Roman"/>
          <w:sz w:val="24"/>
          <w:szCs w:val="24"/>
          <w:lang w:bidi="th-TH"/>
        </w:rPr>
        <w:t xml:space="preserve">‡ </w:t>
      </w: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Defined as the developments of </w:t>
      </w:r>
      <w:r>
        <w:rPr>
          <w:rFonts w:ascii="Times New Roman" w:eastAsia="Times New Roman" w:hAnsi="Times New Roman" w:cs="Times New Roman"/>
          <w:sz w:val="18"/>
          <w:szCs w:val="18"/>
          <w:lang w:bidi="th-TH"/>
        </w:rPr>
        <w:t>c</w:t>
      </w: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>ushingoid features (abnormal body fat redistribution shown as truncal obesity, buffalo hump, and moon face) after receiving intravenous pulsed methylprednisolone.</w:t>
      </w:r>
    </w:p>
    <w:p w:rsidR="00130F4E" w:rsidRDefault="00130F4E" w:rsidP="00130F4E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565CFB">
        <w:rPr>
          <w:rFonts w:ascii="Times New Roman" w:eastAsia="Times New Roman" w:hAnsi="Times New Roman" w:cs="Times New Roman"/>
          <w:sz w:val="24"/>
          <w:szCs w:val="24"/>
          <w:lang w:bidi="th-TH"/>
        </w:rPr>
        <w:t>§</w:t>
      </w: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 </w:t>
      </w:r>
      <w:r w:rsidRPr="00681233"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Patients with clinical sepsis and any identifiable organ infection are considered to have a </w:t>
      </w:r>
      <w:r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serious </w:t>
      </w:r>
      <w:r w:rsidRPr="00681233">
        <w:rPr>
          <w:rFonts w:ascii="Times New Roman" w:eastAsia="Times New Roman" w:hAnsi="Times New Roman" w:cs="Times New Roman"/>
          <w:sz w:val="18"/>
          <w:szCs w:val="18"/>
          <w:lang w:bidi="th-TH"/>
        </w:rPr>
        <w:t>systemic infection.</w:t>
      </w:r>
    </w:p>
    <w:p w:rsidR="00130F4E" w:rsidRPr="007D067D" w:rsidRDefault="00130F4E" w:rsidP="00130F4E">
      <w:pPr>
        <w:spacing w:after="0" w:line="480" w:lineRule="auto"/>
        <w:rPr>
          <w:rFonts w:ascii="Times New Roman" w:eastAsia="Times New Roman" w:hAnsi="Times New Roman" w:cs="Times New Roman"/>
          <w:sz w:val="18"/>
          <w:szCs w:val="18"/>
          <w:lang w:bidi="th-TH"/>
        </w:rPr>
      </w:pPr>
      <w:r w:rsidRPr="00565CFB">
        <w:rPr>
          <w:rFonts w:ascii="Times New Roman" w:eastAsia="Times New Roman" w:hAnsi="Times New Roman" w:cs="Times New Roman"/>
          <w:sz w:val="24"/>
          <w:szCs w:val="24"/>
          <w:lang w:bidi="th-TH"/>
        </w:rPr>
        <w:t>¶</w:t>
      </w: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 Steroid-induced </w:t>
      </w:r>
      <w:r>
        <w:rPr>
          <w:rFonts w:ascii="Times New Roman" w:eastAsia="Times New Roman" w:hAnsi="Times New Roman" w:cs="Times New Roman"/>
          <w:sz w:val="18"/>
          <w:szCs w:val="18"/>
          <w:lang w:bidi="th-TH"/>
        </w:rPr>
        <w:t>g</w:t>
      </w: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laucoma </w:t>
      </w:r>
      <w:r>
        <w:rPr>
          <w:rFonts w:ascii="Times New Roman" w:eastAsia="Times New Roman" w:hAnsi="Times New Roman" w:cs="Times New Roman"/>
          <w:sz w:val="18"/>
          <w:szCs w:val="18"/>
          <w:lang w:bidi="th-TH"/>
        </w:rPr>
        <w:t xml:space="preserve">is </w:t>
      </w:r>
      <w:r w:rsidRPr="00565CFB">
        <w:rPr>
          <w:rFonts w:ascii="Times New Roman" w:eastAsia="Times New Roman" w:hAnsi="Times New Roman" w:cs="Times New Roman"/>
          <w:sz w:val="18"/>
          <w:szCs w:val="18"/>
          <w:lang w:bidi="th-TH"/>
        </w:rPr>
        <w:t>defined as new-onset elevation in IOP after IVMP.</w:t>
      </w:r>
    </w:p>
    <w:p w:rsidR="001760E5" w:rsidRDefault="00130F4E">
      <w:bookmarkStart w:id="0" w:name="_GoBack"/>
      <w:bookmarkEnd w:id="0"/>
    </w:p>
    <w:sectPr w:rsidR="001760E5" w:rsidSect="007D067D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F4E"/>
    <w:rsid w:val="00130F4E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6AB951-644F-4A43-89C8-1358FD847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0F4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เส้นตาราง1"/>
    <w:basedOn w:val="TableNormal"/>
    <w:next w:val="TableGrid"/>
    <w:uiPriority w:val="39"/>
    <w:rsid w:val="00130F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30F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30F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2022-06-20T14:28:00Z</dcterms:created>
  <dcterms:modified xsi:type="dcterms:W3CDTF">2022-06-20T14:28:00Z</dcterms:modified>
</cp:coreProperties>
</file>