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DA0" w:rsidRDefault="00E13334" w:rsidP="00CC1F57">
      <w:pPr>
        <w:jc w:val="center"/>
        <w:rPr>
          <w:sz w:val="40"/>
          <w:szCs w:val="40"/>
        </w:rPr>
      </w:pPr>
      <w:r>
        <w:rPr>
          <w:noProof/>
          <w:lang w:eastAsia="pl-PL"/>
        </w:rPr>
        <w:drawing>
          <wp:inline distT="0" distB="0" distL="0" distR="0" wp14:anchorId="763D2A5C" wp14:editId="238EFD8A">
            <wp:extent cx="7200000" cy="5400000"/>
            <wp:effectExtent l="0" t="0" r="1270" b="0"/>
            <wp:docPr id="42" name="Wykres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B63DF2" w:rsidRPr="00B63DF2" w:rsidRDefault="00B63DF2" w:rsidP="00CC1F57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B63DF2">
        <w:rPr>
          <w:rFonts w:ascii="Times New Roman" w:hAnsi="Times New Roman" w:cs="Times New Roman"/>
          <w:b/>
          <w:sz w:val="32"/>
          <w:szCs w:val="32"/>
          <w:lang w:val="en-US"/>
        </w:rPr>
        <w:t xml:space="preserve">Fig. </w:t>
      </w:r>
      <w:r w:rsidR="007F1011">
        <w:rPr>
          <w:rFonts w:ascii="Times New Roman" w:hAnsi="Times New Roman" w:cs="Times New Roman"/>
          <w:b/>
          <w:sz w:val="32"/>
          <w:szCs w:val="32"/>
          <w:lang w:val="en-US"/>
        </w:rPr>
        <w:t>SM</w:t>
      </w:r>
      <w:r w:rsidR="00444306">
        <w:rPr>
          <w:rFonts w:ascii="Times New Roman" w:hAnsi="Times New Roman" w:cs="Times New Roman"/>
          <w:b/>
          <w:sz w:val="32"/>
          <w:szCs w:val="32"/>
          <w:lang w:val="en-US"/>
        </w:rPr>
        <w:t>1</w:t>
      </w:r>
      <w:bookmarkStart w:id="0" w:name="_GoBack"/>
      <w:bookmarkEnd w:id="0"/>
      <w:r w:rsidRPr="00B63DF2">
        <w:rPr>
          <w:rFonts w:ascii="Times New Roman" w:hAnsi="Times New Roman" w:cs="Times New Roman"/>
          <w:b/>
          <w:sz w:val="32"/>
          <w:szCs w:val="32"/>
          <w:lang w:val="en-US"/>
        </w:rPr>
        <w:t>.</w:t>
      </w:r>
      <w:r w:rsidRPr="00B63DF2">
        <w:rPr>
          <w:rFonts w:ascii="Times New Roman" w:hAnsi="Times New Roman" w:cs="Times New Roman"/>
          <w:sz w:val="32"/>
          <w:szCs w:val="32"/>
          <w:lang w:val="en-US"/>
        </w:rPr>
        <w:t xml:space="preserve"> A plot of </w:t>
      </w:r>
      <w:r w:rsidRPr="00B63DF2">
        <w:rPr>
          <w:rFonts w:ascii="Times New Roman" w:hAnsi="Times New Roman" w:cs="Times New Roman"/>
          <w:sz w:val="32"/>
          <w:szCs w:val="32"/>
          <w:lang w:val="en-GB"/>
        </w:rPr>
        <w:t xml:space="preserve">particle size distribution of </w:t>
      </w:r>
      <w:r w:rsidR="00057221">
        <w:rPr>
          <w:rFonts w:ascii="Times New Roman" w:hAnsi="Times New Roman" w:cs="Times New Roman"/>
          <w:sz w:val="32"/>
          <w:szCs w:val="32"/>
          <w:lang w:val="en-GB"/>
        </w:rPr>
        <w:t xml:space="preserve">CFBC </w:t>
      </w:r>
      <w:r w:rsidR="00E13334">
        <w:rPr>
          <w:rFonts w:ascii="Times New Roman" w:hAnsi="Times New Roman" w:cs="Times New Roman"/>
          <w:sz w:val="32"/>
          <w:szCs w:val="32"/>
          <w:lang w:val="en-GB"/>
        </w:rPr>
        <w:t>slag</w:t>
      </w:r>
      <w:r w:rsidR="00EB6CD0">
        <w:rPr>
          <w:rFonts w:ascii="Times New Roman" w:hAnsi="Times New Roman" w:cs="Times New Roman"/>
          <w:sz w:val="32"/>
          <w:szCs w:val="32"/>
          <w:lang w:val="en-GB"/>
        </w:rPr>
        <w:t>.</w:t>
      </w:r>
    </w:p>
    <w:sectPr w:rsidR="00B63DF2" w:rsidRPr="00B63DF2" w:rsidSect="0071469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69B"/>
    <w:rsid w:val="00057221"/>
    <w:rsid w:val="00177DA0"/>
    <w:rsid w:val="001A3934"/>
    <w:rsid w:val="00444306"/>
    <w:rsid w:val="00702B27"/>
    <w:rsid w:val="0071469B"/>
    <w:rsid w:val="007F1011"/>
    <w:rsid w:val="008F5BE0"/>
    <w:rsid w:val="00AB2367"/>
    <w:rsid w:val="00B63DF2"/>
    <w:rsid w:val="00CC1F57"/>
    <w:rsid w:val="00DE6793"/>
    <w:rsid w:val="00E13334"/>
    <w:rsid w:val="00EB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4D3B6"/>
  <w15:chartTrackingRefBased/>
  <w15:docId w15:val="{281EB442-B7E3-4729-82A7-BEEC9FEF2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oleObject" Target="file:///E:\Moje%20dokumenty\Hab\Wyniki%20BET\Wynik%20DLS%20+%20BET%2015.01.2018\DLS\&#380;u&#380;el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735462794615835E-2"/>
          <c:y val="4.8309178743961352E-2"/>
          <c:w val="0.85408125139764124"/>
          <c:h val="0.79858965941617643"/>
        </c:manualLayout>
      </c:layout>
      <c:scatterChart>
        <c:scatterStyle val="smoothMarker"/>
        <c:varyColors val="0"/>
        <c:ser>
          <c:idx val="0"/>
          <c:order val="0"/>
          <c:spPr>
            <a:ln w="28575" cap="rnd">
              <a:solidFill>
                <a:sysClr val="windowText" lastClr="000000"/>
              </a:solidFill>
              <a:round/>
            </a:ln>
            <a:effectLst/>
          </c:spPr>
          <c:marker>
            <c:symbol val="circle"/>
            <c:size val="2"/>
            <c:spPr>
              <a:solidFill>
                <a:sysClr val="windowText" lastClr="000000"/>
              </a:solidFill>
              <a:ln w="9525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Arkusz1!$A$2:$A$71</c:f>
              <c:numCache>
                <c:formatCode>General</c:formatCode>
                <c:ptCount val="70"/>
                <c:pt idx="0">
                  <c:v>0.4</c:v>
                </c:pt>
                <c:pt idx="1">
                  <c:v>0.46300000000000002</c:v>
                </c:pt>
                <c:pt idx="2">
                  <c:v>0.53600000000000003</c:v>
                </c:pt>
                <c:pt idx="3">
                  <c:v>0.621</c:v>
                </c:pt>
                <c:pt idx="4">
                  <c:v>0.71899999999999997</c:v>
                </c:pt>
                <c:pt idx="5">
                  <c:v>0.83299999999999996</c:v>
                </c:pt>
                <c:pt idx="6">
                  <c:v>0.96499999999999997</c:v>
                </c:pt>
                <c:pt idx="7">
                  <c:v>1.117</c:v>
                </c:pt>
                <c:pt idx="8">
                  <c:v>1.294</c:v>
                </c:pt>
                <c:pt idx="9">
                  <c:v>1.4990000000000001</c:v>
                </c:pt>
                <c:pt idx="10">
                  <c:v>1.736</c:v>
                </c:pt>
                <c:pt idx="11">
                  <c:v>2.0099999999999998</c:v>
                </c:pt>
                <c:pt idx="12">
                  <c:v>2.3279999999999998</c:v>
                </c:pt>
                <c:pt idx="13">
                  <c:v>2.6960000000000002</c:v>
                </c:pt>
                <c:pt idx="14">
                  <c:v>3.1219999999999999</c:v>
                </c:pt>
                <c:pt idx="15">
                  <c:v>3.6150000000000002</c:v>
                </c:pt>
                <c:pt idx="16">
                  <c:v>4.1870000000000003</c:v>
                </c:pt>
                <c:pt idx="17">
                  <c:v>4.8490000000000002</c:v>
                </c:pt>
                <c:pt idx="18">
                  <c:v>5.6150000000000002</c:v>
                </c:pt>
                <c:pt idx="19">
                  <c:v>6.5030000000000001</c:v>
                </c:pt>
                <c:pt idx="20">
                  <c:v>7.5309999999999997</c:v>
                </c:pt>
                <c:pt idx="21">
                  <c:v>8.7210000000000001</c:v>
                </c:pt>
                <c:pt idx="22">
                  <c:v>10.1</c:v>
                </c:pt>
                <c:pt idx="23">
                  <c:v>11.696</c:v>
                </c:pt>
                <c:pt idx="24">
                  <c:v>13.545</c:v>
                </c:pt>
                <c:pt idx="25">
                  <c:v>15.686</c:v>
                </c:pt>
                <c:pt idx="26">
                  <c:v>18.166</c:v>
                </c:pt>
                <c:pt idx="27">
                  <c:v>21.036999999999999</c:v>
                </c:pt>
                <c:pt idx="28">
                  <c:v>24.363</c:v>
                </c:pt>
                <c:pt idx="29">
                  <c:v>28.213999999999999</c:v>
                </c:pt>
                <c:pt idx="30">
                  <c:v>32.673999999999999</c:v>
                </c:pt>
                <c:pt idx="31">
                  <c:v>37.840000000000003</c:v>
                </c:pt>
                <c:pt idx="32">
                  <c:v>43.820999999999998</c:v>
                </c:pt>
                <c:pt idx="33">
                  <c:v>50.747999999999998</c:v>
                </c:pt>
                <c:pt idx="34">
                  <c:v>58.771000000000001</c:v>
                </c:pt>
                <c:pt idx="35">
                  <c:v>68.061000000000007</c:v>
                </c:pt>
                <c:pt idx="36">
                  <c:v>78.819999999999993</c:v>
                </c:pt>
                <c:pt idx="37">
                  <c:v>91.28</c:v>
                </c:pt>
                <c:pt idx="38">
                  <c:v>105.709</c:v>
                </c:pt>
                <c:pt idx="39">
                  <c:v>122.42</c:v>
                </c:pt>
                <c:pt idx="40">
                  <c:v>141.77199999999999</c:v>
                </c:pt>
                <c:pt idx="41">
                  <c:v>164.18299999999999</c:v>
                </c:pt>
                <c:pt idx="42">
                  <c:v>190.137</c:v>
                </c:pt>
                <c:pt idx="43">
                  <c:v>220.19399999999999</c:v>
                </c:pt>
                <c:pt idx="44">
                  <c:v>255.00200000000001</c:v>
                </c:pt>
                <c:pt idx="45">
                  <c:v>295.31200000000001</c:v>
                </c:pt>
                <c:pt idx="46">
                  <c:v>341.995</c:v>
                </c:pt>
                <c:pt idx="47">
                  <c:v>396.05799999999999</c:v>
                </c:pt>
                <c:pt idx="48">
                  <c:v>458.666</c:v>
                </c:pt>
                <c:pt idx="49">
                  <c:v>531.17200000000003</c:v>
                </c:pt>
                <c:pt idx="50">
                  <c:v>615.13900000000001</c:v>
                </c:pt>
                <c:pt idx="51">
                  <c:v>712.37900000000002</c:v>
                </c:pt>
                <c:pt idx="52">
                  <c:v>824.99199999999996</c:v>
                </c:pt>
                <c:pt idx="53">
                  <c:v>955.40599999999995</c:v>
                </c:pt>
                <c:pt idx="54">
                  <c:v>1106.4349999999999</c:v>
                </c:pt>
                <c:pt idx="55">
                  <c:v>1281.3399999999999</c:v>
                </c:pt>
                <c:pt idx="56">
                  <c:v>1483.893</c:v>
                </c:pt>
                <c:pt idx="57">
                  <c:v>1718.4659999999999</c:v>
                </c:pt>
                <c:pt idx="58">
                  <c:v>1990.1189999999999</c:v>
                </c:pt>
                <c:pt idx="59">
                  <c:v>2304.7159999999999</c:v>
                </c:pt>
                <c:pt idx="60">
                  <c:v>2669.0430000000001</c:v>
                </c:pt>
                <c:pt idx="61">
                  <c:v>3090.9639999999999</c:v>
                </c:pt>
                <c:pt idx="62">
                  <c:v>3579.5810000000001</c:v>
                </c:pt>
                <c:pt idx="63">
                  <c:v>4145.4380000000001</c:v>
                </c:pt>
                <c:pt idx="64">
                  <c:v>4800.7460000000001</c:v>
                </c:pt>
                <c:pt idx="65">
                  <c:v>5559.6440000000002</c:v>
                </c:pt>
                <c:pt idx="66">
                  <c:v>6438.5079999999998</c:v>
                </c:pt>
                <c:pt idx="67">
                  <c:v>7456.3019999999997</c:v>
                </c:pt>
                <c:pt idx="68">
                  <c:v>8634.9879999999994</c:v>
                </c:pt>
                <c:pt idx="69">
                  <c:v>10000</c:v>
                </c:pt>
              </c:numCache>
            </c:numRef>
          </c:xVal>
          <c:yVal>
            <c:numRef>
              <c:f>Arkusz1!$B$2:$B$71</c:f>
              <c:numCache>
                <c:formatCode>General</c:formatCode>
                <c:ptCount val="7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1.1240000000000001</c:v>
                </c:pt>
                <c:pt idx="51">
                  <c:v>6.9039999999999999</c:v>
                </c:pt>
                <c:pt idx="52">
                  <c:v>17.957000000000001</c:v>
                </c:pt>
                <c:pt idx="53">
                  <c:v>26.437999999999999</c:v>
                </c:pt>
                <c:pt idx="54">
                  <c:v>24.658000000000001</c:v>
                </c:pt>
                <c:pt idx="55">
                  <c:v>15.298</c:v>
                </c:pt>
                <c:pt idx="56">
                  <c:v>6.1840000000000002</c:v>
                </c:pt>
                <c:pt idx="57">
                  <c:v>1.3260000000000001</c:v>
                </c:pt>
                <c:pt idx="58">
                  <c:v>4.4999999999999998E-2</c:v>
                </c:pt>
                <c:pt idx="59">
                  <c:v>2E-3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4.0000000000000001E-3</c:v>
                </c:pt>
                <c:pt idx="64">
                  <c:v>1.9E-2</c:v>
                </c:pt>
                <c:pt idx="65">
                  <c:v>2.8000000000000001E-2</c:v>
                </c:pt>
                <c:pt idx="66">
                  <c:v>1.2E-2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1D6-4FD5-90DF-BBDB20BDC9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9060728"/>
        <c:axId val="599061384"/>
      </c:scatterChart>
      <c:valAx>
        <c:axId val="599060728"/>
        <c:scaling>
          <c:logBase val="10"/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2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2000">
                    <a:solidFill>
                      <a:sysClr val="windowText" lastClr="000000"/>
                    </a:solidFill>
                  </a:rPr>
                  <a:t>Size</a:t>
                </a:r>
                <a:r>
                  <a:rPr lang="pl-PL" sz="2000" baseline="0">
                    <a:solidFill>
                      <a:sysClr val="windowText" lastClr="000000"/>
                    </a:solidFill>
                  </a:rPr>
                  <a:t>  [</a:t>
                </a:r>
                <a:r>
                  <a:rPr lang="pl-PL" sz="2000" baseline="0">
                    <a:solidFill>
                      <a:sysClr val="windowText" lastClr="000000"/>
                    </a:solidFill>
                    <a:latin typeface="+mn-lt"/>
                    <a:cs typeface="Arial" panose="020B0604020202020204" pitchFamily="34" charset="0"/>
                  </a:rPr>
                  <a:t>n</a:t>
                </a:r>
                <a:r>
                  <a:rPr lang="pl-PL" sz="2000" baseline="0">
                    <a:solidFill>
                      <a:sysClr val="windowText" lastClr="000000"/>
                    </a:solidFill>
                  </a:rPr>
                  <a:t>m]</a:t>
                </a:r>
                <a:endParaRPr lang="en-GB" sz="20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7591348444295045"/>
              <c:y val="0.9698896452479486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2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599061384"/>
        <c:crossesAt val="0"/>
        <c:crossBetween val="midCat"/>
      </c:valAx>
      <c:valAx>
        <c:axId val="59906138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2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2000" baseline="0">
                    <a:solidFill>
                      <a:sysClr val="windowText" lastClr="000000"/>
                    </a:solidFill>
                  </a:rPr>
                  <a:t>Number  [%]</a:t>
                </a:r>
                <a:endParaRPr lang="en-GB" sz="2000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2282575632358882E-3"/>
              <c:y val="0.308637896212638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2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59906072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0.80923</cdr:x>
      <cdr:y>0.11989</cdr:y>
    </cdr:from>
    <cdr:to>
      <cdr:x>0.96719</cdr:x>
      <cdr:y>0.24111</cdr:y>
    </cdr:to>
    <cdr:sp macro="" textlink="">
      <cdr:nvSpPr>
        <cdr:cNvPr id="2" name="pole tekstowe 1"/>
        <cdr:cNvSpPr txBox="1"/>
      </cdr:nvSpPr>
      <cdr:spPr>
        <a:xfrm xmlns:a="http://schemas.openxmlformats.org/drawingml/2006/main">
          <a:off x="5074920" y="346710"/>
          <a:ext cx="990600" cy="3505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GB" sz="1100"/>
        </a:p>
      </cdr:txBody>
    </cdr:sp>
  </cdr:relSizeAnchor>
  <cdr:relSizeAnchor xmlns:cdr="http://schemas.openxmlformats.org/drawingml/2006/chartDrawing">
    <cdr:from>
      <cdr:x>0.78365</cdr:x>
      <cdr:y>0.08304</cdr:y>
    </cdr:from>
    <cdr:to>
      <cdr:x>0.96102</cdr:x>
      <cdr:y>0.14818</cdr:y>
    </cdr:to>
    <cdr:sp macro="" textlink="">
      <cdr:nvSpPr>
        <cdr:cNvPr id="3" name="pole tekstowe 2"/>
        <cdr:cNvSpPr txBox="1"/>
      </cdr:nvSpPr>
      <cdr:spPr>
        <a:xfrm xmlns:a="http://schemas.openxmlformats.org/drawingml/2006/main">
          <a:off x="5642020" y="448350"/>
          <a:ext cx="1276940" cy="3517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l-PL" sz="1800">
              <a:latin typeface="+mn-lt"/>
            </a:rPr>
            <a:t>955,4 </a:t>
          </a:r>
          <a:r>
            <a:rPr lang="pl-PL" sz="1800">
              <a:latin typeface="+mn-lt"/>
              <a:cs typeface="Calibri" panose="020F0502020204030204" pitchFamily="34" charset="0"/>
            </a:rPr>
            <a:t>n</a:t>
          </a:r>
          <a:r>
            <a:rPr lang="pl-PL" sz="1800">
              <a:latin typeface="+mn-lt"/>
            </a:rPr>
            <a:t>m</a:t>
          </a:r>
          <a:endParaRPr lang="en-GB" sz="1800">
            <a:latin typeface="+mn-lt"/>
          </a:endParaRPr>
        </a:p>
      </cdr:txBody>
    </cdr:sp>
  </cdr:relSizeAnchor>
  <cdr:relSizeAnchor xmlns:cdr="http://schemas.openxmlformats.org/drawingml/2006/chartDrawing">
    <cdr:from>
      <cdr:x>0.47563</cdr:x>
      <cdr:y>0.08075</cdr:y>
    </cdr:from>
    <cdr:to>
      <cdr:x>0.64406</cdr:x>
      <cdr:y>0.14959</cdr:y>
    </cdr:to>
    <cdr:sp macro="" textlink="">
      <cdr:nvSpPr>
        <cdr:cNvPr id="4" name="pole tekstowe 2"/>
        <cdr:cNvSpPr txBox="1"/>
      </cdr:nvSpPr>
      <cdr:spPr>
        <a:xfrm xmlns:a="http://schemas.openxmlformats.org/drawingml/2006/main">
          <a:off x="3424353" y="435985"/>
          <a:ext cx="1212634" cy="3717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pl-PL" sz="1800">
              <a:latin typeface="+mn-lt"/>
            </a:rPr>
            <a:t>Slag</a:t>
          </a:r>
          <a:endParaRPr lang="en-GB" sz="1800">
            <a:latin typeface="+mn-lt"/>
          </a:endParaRP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Kalak</dc:creator>
  <cp:keywords/>
  <dc:description/>
  <cp:lastModifiedBy>Toshiba</cp:lastModifiedBy>
  <cp:revision>6</cp:revision>
  <cp:lastPrinted>2020-08-31T12:37:00Z</cp:lastPrinted>
  <dcterms:created xsi:type="dcterms:W3CDTF">2020-08-31T12:46:00Z</dcterms:created>
  <dcterms:modified xsi:type="dcterms:W3CDTF">2022-05-24T10:33:00Z</dcterms:modified>
</cp:coreProperties>
</file>