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6757" w:rsidRDefault="00116757">
      <w:r>
        <w:rPr>
          <w:noProof/>
          <w:lang w:eastAsia="pl-PL"/>
        </w:rPr>
        <w:drawing>
          <wp:inline distT="0" distB="0" distL="0" distR="0" wp14:anchorId="11B70087" wp14:editId="5D849134">
            <wp:extent cx="8820000" cy="5040000"/>
            <wp:effectExtent l="0" t="0" r="635" b="8255"/>
            <wp:docPr id="1" name="Wykres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116757" w:rsidRDefault="00116757">
      <w:bookmarkStart w:id="0" w:name="_GoBack"/>
      <w:bookmarkEnd w:id="0"/>
    </w:p>
    <w:p w:rsidR="00C228C2" w:rsidRPr="008752FE" w:rsidRDefault="008752FE">
      <w:pPr>
        <w:rPr>
          <w:sz w:val="32"/>
          <w:szCs w:val="32"/>
        </w:rPr>
      </w:pPr>
      <w:r w:rsidRPr="008752FE">
        <w:rPr>
          <w:rFonts w:ascii="Times New Roman" w:hAnsi="Times New Roman" w:cs="Times New Roman"/>
          <w:b/>
          <w:color w:val="000000" w:themeColor="text1"/>
          <w:sz w:val="32"/>
          <w:szCs w:val="32"/>
          <w:lang w:val="en-US"/>
        </w:rPr>
        <w:t xml:space="preserve">Fig. </w:t>
      </w:r>
      <w:r w:rsidR="00116757">
        <w:rPr>
          <w:rFonts w:ascii="Times New Roman" w:hAnsi="Times New Roman" w:cs="Times New Roman"/>
          <w:b/>
          <w:color w:val="000000" w:themeColor="text1"/>
          <w:sz w:val="32"/>
          <w:szCs w:val="32"/>
          <w:lang w:val="en-US"/>
        </w:rPr>
        <w:t>SM11</w:t>
      </w:r>
      <w:r w:rsidRPr="008752FE">
        <w:rPr>
          <w:rFonts w:ascii="Times New Roman" w:hAnsi="Times New Roman" w:cs="Times New Roman"/>
          <w:color w:val="000000" w:themeColor="text1"/>
          <w:sz w:val="32"/>
          <w:szCs w:val="32"/>
          <w:lang w:val="en-US"/>
        </w:rPr>
        <w:t xml:space="preserve"> The impact of contact time on adsorption </w:t>
      </w:r>
      <w:r w:rsidR="00116757">
        <w:rPr>
          <w:rFonts w:ascii="Times New Roman" w:hAnsi="Times New Roman" w:cs="Times New Roman"/>
          <w:color w:val="000000" w:themeColor="text1"/>
          <w:sz w:val="32"/>
          <w:szCs w:val="32"/>
          <w:lang w:val="en-US"/>
        </w:rPr>
        <w:t>capacit</w:t>
      </w:r>
      <w:r w:rsidRPr="008752FE">
        <w:rPr>
          <w:rFonts w:ascii="Times New Roman" w:hAnsi="Times New Roman" w:cs="Times New Roman"/>
          <w:color w:val="000000" w:themeColor="text1"/>
          <w:sz w:val="32"/>
          <w:szCs w:val="32"/>
          <w:lang w:val="en-US"/>
        </w:rPr>
        <w:t>y of Cu(II) ions</w:t>
      </w:r>
    </w:p>
    <w:sectPr w:rsidR="00C228C2" w:rsidRPr="008752FE" w:rsidSect="008E44D3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44D3"/>
    <w:rsid w:val="00116757"/>
    <w:rsid w:val="0023333A"/>
    <w:rsid w:val="002F7CEE"/>
    <w:rsid w:val="003E7E89"/>
    <w:rsid w:val="0067251C"/>
    <w:rsid w:val="00693F47"/>
    <w:rsid w:val="008752FE"/>
    <w:rsid w:val="008E44D3"/>
    <w:rsid w:val="009A2810"/>
    <w:rsid w:val="00A0461E"/>
    <w:rsid w:val="00AE2B2A"/>
    <w:rsid w:val="00B129B0"/>
    <w:rsid w:val="00B6400F"/>
    <w:rsid w:val="00C228C2"/>
    <w:rsid w:val="00C73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EB4786"/>
  <w15:chartTrackingRefBased/>
  <w15:docId w15:val="{ECFB6521-083D-4495-B837-5794D635B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oleObject" Target="file:///C:\Moje%20dokumenty\Prace%20naukowe\Publikacje\Publikacja%2077,%20CTEP,%202022\Wyniki%20bada&#324;%20&#380;u&#380;el%20Cu.xlsx" TargetMode="External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8.9560820521309842E-2"/>
          <c:y val="0.10365958287472131"/>
          <c:w val="0.88130877945102426"/>
          <c:h val="0.76643191114276898"/>
        </c:manualLayout>
      </c:layout>
      <c:scatterChart>
        <c:scatterStyle val="lineMarker"/>
        <c:varyColors val="0"/>
        <c:ser>
          <c:idx val="0"/>
          <c:order val="0"/>
          <c:tx>
            <c:v> 3 g/L</c:v>
          </c:tx>
          <c:marker>
            <c:symbol val="diamond"/>
            <c:size val="6"/>
            <c:spPr>
              <a:solidFill>
                <a:srgbClr val="0070C0"/>
              </a:solidFill>
              <a:ln>
                <a:solidFill>
                  <a:srgbClr val="0070C0"/>
                </a:solidFill>
              </a:ln>
            </c:spPr>
          </c:marker>
          <c:xVal>
            <c:numRef>
              <c:f>'Czas wytrząsania'!$M$58:$M$64</c:f>
              <c:numCache>
                <c:formatCode>General</c:formatCode>
                <c:ptCount val="7"/>
                <c:pt idx="0" formatCode="0.00">
                  <c:v>0</c:v>
                </c:pt>
                <c:pt idx="1">
                  <c:v>2.5</c:v>
                </c:pt>
                <c:pt idx="2">
                  <c:v>5</c:v>
                </c:pt>
                <c:pt idx="3">
                  <c:v>10</c:v>
                </c:pt>
                <c:pt idx="4">
                  <c:v>15</c:v>
                </c:pt>
                <c:pt idx="5">
                  <c:v>30</c:v>
                </c:pt>
                <c:pt idx="6">
                  <c:v>60</c:v>
                </c:pt>
              </c:numCache>
            </c:numRef>
          </c:xVal>
          <c:yVal>
            <c:numRef>
              <c:f>'Czas wytrząsania'!$K$58:$K$64</c:f>
              <c:numCache>
                <c:formatCode>General</c:formatCode>
                <c:ptCount val="7"/>
                <c:pt idx="0">
                  <c:v>0</c:v>
                </c:pt>
                <c:pt idx="1">
                  <c:v>11.81</c:v>
                </c:pt>
                <c:pt idx="2">
                  <c:v>12.139000000000001</c:v>
                </c:pt>
                <c:pt idx="3">
                  <c:v>12.693</c:v>
                </c:pt>
                <c:pt idx="4">
                  <c:v>13.853</c:v>
                </c:pt>
                <c:pt idx="5">
                  <c:v>14.202999999999998</c:v>
                </c:pt>
                <c:pt idx="6">
                  <c:v>14.322000000000001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13A1-4130-AB99-E74D21413805}"/>
            </c:ext>
          </c:extLst>
        </c:ser>
        <c:ser>
          <c:idx val="3"/>
          <c:order val="1"/>
          <c:tx>
            <c:v> 4 g/L</c:v>
          </c:tx>
          <c:spPr>
            <a:ln w="25400">
              <a:solidFill>
                <a:srgbClr val="FF0000"/>
              </a:solidFill>
            </a:ln>
          </c:spPr>
          <c:marker>
            <c:symbol val="x"/>
            <c:size val="6"/>
            <c:spPr>
              <a:solidFill>
                <a:srgbClr val="FF0000"/>
              </a:solidFill>
              <a:ln>
                <a:solidFill>
                  <a:srgbClr val="FF0000"/>
                </a:solidFill>
              </a:ln>
            </c:spPr>
          </c:marker>
          <c:xVal>
            <c:numRef>
              <c:f>'Czas wytrząsania'!$D$85:$D$91</c:f>
              <c:numCache>
                <c:formatCode>General</c:formatCode>
                <c:ptCount val="7"/>
                <c:pt idx="0">
                  <c:v>0</c:v>
                </c:pt>
                <c:pt idx="1">
                  <c:v>2.5</c:v>
                </c:pt>
                <c:pt idx="2">
                  <c:v>5</c:v>
                </c:pt>
                <c:pt idx="3">
                  <c:v>10</c:v>
                </c:pt>
                <c:pt idx="4">
                  <c:v>15</c:v>
                </c:pt>
                <c:pt idx="5">
                  <c:v>30</c:v>
                </c:pt>
                <c:pt idx="6">
                  <c:v>60</c:v>
                </c:pt>
              </c:numCache>
            </c:numRef>
          </c:xVal>
          <c:yVal>
            <c:numRef>
              <c:f>'Czas wytrząsania'!$K$85:$K$91</c:f>
              <c:numCache>
                <c:formatCode>General</c:formatCode>
                <c:ptCount val="7"/>
                <c:pt idx="0">
                  <c:v>0</c:v>
                </c:pt>
                <c:pt idx="1">
                  <c:v>14.145999999999997</c:v>
                </c:pt>
                <c:pt idx="2">
                  <c:v>14.528999999999998</c:v>
                </c:pt>
                <c:pt idx="3">
                  <c:v>15.767999999999997</c:v>
                </c:pt>
                <c:pt idx="4">
                  <c:v>16.655999999999999</c:v>
                </c:pt>
                <c:pt idx="5">
                  <c:v>17.415999999999997</c:v>
                </c:pt>
                <c:pt idx="6">
                  <c:v>17.676999999999996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13A1-4130-AB99-E74D21413805}"/>
            </c:ext>
          </c:extLst>
        </c:ser>
        <c:ser>
          <c:idx val="4"/>
          <c:order val="2"/>
          <c:tx>
            <c:v> 5 g/L</c:v>
          </c:tx>
          <c:spPr>
            <a:ln w="25400">
              <a:solidFill>
                <a:sysClr val="windowText" lastClr="000000"/>
              </a:solidFill>
            </a:ln>
          </c:spPr>
          <c:marker>
            <c:symbol val="circle"/>
            <c:size val="7"/>
            <c:spPr>
              <a:solidFill>
                <a:sysClr val="windowText" lastClr="000000"/>
              </a:solidFill>
              <a:ln>
                <a:solidFill>
                  <a:sysClr val="windowText" lastClr="000000"/>
                </a:solidFill>
              </a:ln>
            </c:spPr>
          </c:marker>
          <c:xVal>
            <c:numRef>
              <c:f>'Czas wytrząsania'!$D$110:$D$116</c:f>
              <c:numCache>
                <c:formatCode>General</c:formatCode>
                <c:ptCount val="7"/>
                <c:pt idx="0">
                  <c:v>0</c:v>
                </c:pt>
                <c:pt idx="1">
                  <c:v>2.5</c:v>
                </c:pt>
                <c:pt idx="2">
                  <c:v>5</c:v>
                </c:pt>
                <c:pt idx="3">
                  <c:v>10</c:v>
                </c:pt>
                <c:pt idx="4">
                  <c:v>15</c:v>
                </c:pt>
                <c:pt idx="5">
                  <c:v>30</c:v>
                </c:pt>
                <c:pt idx="6">
                  <c:v>60</c:v>
                </c:pt>
              </c:numCache>
            </c:numRef>
          </c:xVal>
          <c:yVal>
            <c:numRef>
              <c:f>'Czas wytrząsania'!$K$110:$K$116</c:f>
              <c:numCache>
                <c:formatCode>General</c:formatCode>
                <c:ptCount val="7"/>
                <c:pt idx="0">
                  <c:v>0</c:v>
                </c:pt>
                <c:pt idx="1">
                  <c:v>16.017999999999997</c:v>
                </c:pt>
                <c:pt idx="2">
                  <c:v>16.864999999999995</c:v>
                </c:pt>
                <c:pt idx="3">
                  <c:v>17.750999999999998</c:v>
                </c:pt>
                <c:pt idx="4">
                  <c:v>18.681999999999999</c:v>
                </c:pt>
                <c:pt idx="5">
                  <c:v>19.244</c:v>
                </c:pt>
                <c:pt idx="6">
                  <c:v>19.553999999999998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13A1-4130-AB99-E74D2141380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27653824"/>
        <c:axId val="327657744"/>
      </c:scatterChart>
      <c:valAx>
        <c:axId val="327653824"/>
        <c:scaling>
          <c:orientation val="minMax"/>
          <c:max val="70"/>
          <c:min val="0"/>
        </c:scaling>
        <c:delete val="0"/>
        <c:axPos val="b"/>
        <c:title>
          <c:tx>
            <c:rich>
              <a:bodyPr/>
              <a:lstStyle/>
              <a:p>
                <a:pPr>
                  <a:defRPr sz="1400" b="0">
                    <a:solidFill>
                      <a:schemeClr val="tx1"/>
                    </a:solidFill>
                  </a:defRPr>
                </a:pPr>
                <a:r>
                  <a:rPr lang="pl-PL" sz="1400" b="0">
                    <a:solidFill>
                      <a:schemeClr val="tx1"/>
                    </a:solidFill>
                  </a:rPr>
                  <a:t>Contact</a:t>
                </a:r>
                <a:r>
                  <a:rPr lang="pl-PL" sz="1400" b="0" baseline="0">
                    <a:solidFill>
                      <a:schemeClr val="tx1"/>
                    </a:solidFill>
                  </a:rPr>
                  <a:t> time [min]</a:t>
                </a:r>
              </a:p>
            </c:rich>
          </c:tx>
          <c:layout>
            <c:manualLayout>
              <c:xMode val="edge"/>
              <c:yMode val="edge"/>
              <c:x val="0.44089703345365366"/>
              <c:y val="0.95979837281584601"/>
            </c:manualLayout>
          </c:layout>
          <c:overlay val="0"/>
        </c:title>
        <c:numFmt formatCode="0" sourceLinked="0"/>
        <c:majorTickMark val="out"/>
        <c:minorTickMark val="none"/>
        <c:tickLblPos val="nextTo"/>
        <c:txPr>
          <a:bodyPr/>
          <a:lstStyle/>
          <a:p>
            <a:pPr>
              <a:defRPr sz="1200">
                <a:solidFill>
                  <a:schemeClr val="tx1"/>
                </a:solidFill>
              </a:defRPr>
            </a:pPr>
            <a:endParaRPr lang="pl-PL"/>
          </a:p>
        </c:txPr>
        <c:crossAx val="327657744"/>
        <c:crosses val="autoZero"/>
        <c:crossBetween val="midCat"/>
      </c:valAx>
      <c:valAx>
        <c:axId val="327657744"/>
        <c:scaling>
          <c:orientation val="minMax"/>
          <c:max val="30"/>
          <c:min val="0"/>
        </c:scaling>
        <c:delete val="0"/>
        <c:axPos val="l"/>
        <c:majorGridlines/>
        <c:title>
          <c:tx>
            <c:rich>
              <a:bodyPr rot="-5400000" vert="horz"/>
              <a:lstStyle/>
              <a:p>
                <a:pPr>
                  <a:defRPr sz="1400" b="0">
                    <a:solidFill>
                      <a:schemeClr val="tx1"/>
                    </a:solidFill>
                  </a:defRPr>
                </a:pPr>
                <a:r>
                  <a:rPr lang="pl-PL" sz="1400" b="0" baseline="0">
                    <a:solidFill>
                      <a:schemeClr val="tx1"/>
                    </a:solidFill>
                  </a:rPr>
                  <a:t>Adsorption  capacity  [mg/g]</a:t>
                </a:r>
                <a:endParaRPr lang="en-US" sz="1400" b="0">
                  <a:solidFill>
                    <a:schemeClr val="tx1"/>
                  </a:solidFill>
                </a:endParaRPr>
              </a:p>
            </c:rich>
          </c:tx>
          <c:layout>
            <c:manualLayout>
              <c:xMode val="edge"/>
              <c:yMode val="edge"/>
              <c:x val="7.9082505991098914E-4"/>
              <c:y val="0.22744475488950977"/>
            </c:manualLayout>
          </c:layout>
          <c:overlay val="0"/>
        </c:title>
        <c:numFmt formatCode="0" sourceLinked="0"/>
        <c:majorTickMark val="out"/>
        <c:minorTickMark val="none"/>
        <c:tickLblPos val="nextTo"/>
        <c:txPr>
          <a:bodyPr/>
          <a:lstStyle/>
          <a:p>
            <a:pPr>
              <a:defRPr sz="1200">
                <a:solidFill>
                  <a:schemeClr val="tx1"/>
                </a:solidFill>
              </a:defRPr>
            </a:pPr>
            <a:endParaRPr lang="pl-PL"/>
          </a:p>
        </c:txPr>
        <c:crossAx val="327653824"/>
        <c:crosses val="autoZero"/>
        <c:crossBetween val="midCat"/>
        <c:majorUnit val="5"/>
      </c:valAx>
      <c:spPr>
        <a:noFill/>
        <a:ln w="25400">
          <a:noFill/>
        </a:ln>
      </c:spPr>
    </c:plotArea>
    <c:legend>
      <c:legendPos val="t"/>
      <c:layout>
        <c:manualLayout>
          <c:xMode val="edge"/>
          <c:yMode val="edge"/>
          <c:x val="0"/>
          <c:y val="0"/>
          <c:w val="1"/>
          <c:h val="8.588361694803269E-2"/>
        </c:manualLayout>
      </c:layout>
      <c:overlay val="0"/>
      <c:txPr>
        <a:bodyPr/>
        <a:lstStyle/>
        <a:p>
          <a:pPr>
            <a:defRPr sz="1200">
              <a:solidFill>
                <a:schemeClr val="tx1"/>
              </a:solidFill>
            </a:defRPr>
          </a:pPr>
          <a:endParaRPr lang="pl-PL"/>
        </a:p>
      </c:txPr>
    </c:legend>
    <c:plotVisOnly val="1"/>
    <c:dispBlanksAs val="gap"/>
    <c:showDLblsOverMax val="0"/>
  </c:chart>
  <c:spPr>
    <a:ln>
      <a:noFill/>
    </a:ln>
  </c:spPr>
  <c:externalData r:id="rId2">
    <c:autoUpdate val="0"/>
  </c:externalData>
</c:chartSpace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Pakiet 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Pakiet Office">
    <a:majorFont>
      <a:latin typeface="Calibri Light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Pakiet 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67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Toshiba</cp:lastModifiedBy>
  <cp:revision>2</cp:revision>
  <dcterms:created xsi:type="dcterms:W3CDTF">2022-06-03T10:52:00Z</dcterms:created>
  <dcterms:modified xsi:type="dcterms:W3CDTF">2022-06-03T10:52:00Z</dcterms:modified>
</cp:coreProperties>
</file>