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400F" w:rsidRDefault="00362A9D">
      <w:bookmarkStart w:id="0" w:name="_GoBack"/>
      <w:r>
        <w:rPr>
          <w:noProof/>
          <w:lang w:eastAsia="pl-PL"/>
        </w:rPr>
        <w:drawing>
          <wp:inline distT="0" distB="0" distL="0" distR="0" wp14:anchorId="6F10456E" wp14:editId="3C7F3B85">
            <wp:extent cx="8820000" cy="5040000"/>
            <wp:effectExtent l="0" t="0" r="635" b="8255"/>
            <wp:docPr id="1" name="Wykres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  <w:bookmarkEnd w:id="0"/>
    </w:p>
    <w:p w:rsidR="008E44D3" w:rsidRPr="008E44D3" w:rsidRDefault="008E44D3">
      <w:pPr>
        <w:rPr>
          <w:sz w:val="32"/>
          <w:szCs w:val="32"/>
        </w:rPr>
      </w:pPr>
      <w:r w:rsidRPr="008E44D3">
        <w:rPr>
          <w:rFonts w:ascii="Times New Roman" w:hAnsi="Times New Roman" w:cs="Times New Roman"/>
          <w:b/>
          <w:color w:val="000000" w:themeColor="text1"/>
          <w:sz w:val="32"/>
          <w:szCs w:val="32"/>
          <w:lang w:val="en-US"/>
        </w:rPr>
        <w:t xml:space="preserve">Fig. </w:t>
      </w:r>
      <w:r w:rsidR="00693F47">
        <w:rPr>
          <w:rFonts w:ascii="Times New Roman" w:hAnsi="Times New Roman" w:cs="Times New Roman"/>
          <w:b/>
          <w:color w:val="000000" w:themeColor="text1"/>
          <w:sz w:val="32"/>
          <w:szCs w:val="32"/>
          <w:lang w:val="en-US"/>
        </w:rPr>
        <w:t>SM8</w:t>
      </w:r>
      <w:r w:rsidRPr="008E44D3">
        <w:rPr>
          <w:rFonts w:ascii="Times New Roman" w:hAnsi="Times New Roman" w:cs="Times New Roman"/>
          <w:color w:val="000000" w:themeColor="text1"/>
          <w:sz w:val="32"/>
          <w:szCs w:val="32"/>
          <w:lang w:val="en-US"/>
        </w:rPr>
        <w:t xml:space="preserve"> The impact of initial pH on adsorption </w:t>
      </w:r>
      <w:r w:rsidR="00693F47">
        <w:rPr>
          <w:rFonts w:ascii="Times New Roman" w:hAnsi="Times New Roman" w:cs="Times New Roman"/>
          <w:color w:val="000000" w:themeColor="text1"/>
          <w:sz w:val="32"/>
          <w:szCs w:val="32"/>
          <w:lang w:val="en-US"/>
        </w:rPr>
        <w:t>capacit</w:t>
      </w:r>
      <w:r w:rsidRPr="008E44D3">
        <w:rPr>
          <w:rFonts w:ascii="Times New Roman" w:hAnsi="Times New Roman" w:cs="Times New Roman"/>
          <w:color w:val="000000" w:themeColor="text1"/>
          <w:sz w:val="32"/>
          <w:szCs w:val="32"/>
          <w:lang w:val="en-US"/>
        </w:rPr>
        <w:t>y of Cu(II)</w:t>
      </w:r>
    </w:p>
    <w:sectPr w:rsidR="008E44D3" w:rsidRPr="008E44D3" w:rsidSect="008E44D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44D3"/>
    <w:rsid w:val="0023333A"/>
    <w:rsid w:val="00362A9D"/>
    <w:rsid w:val="00693F47"/>
    <w:rsid w:val="006C09A7"/>
    <w:rsid w:val="008E44D3"/>
    <w:rsid w:val="00B64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CFB6521-083D-4495-B837-5794D635B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file:///C:\Moje%20dokumenty\Prace%20naukowe\Publikacje\Publikacja%2077,%20CTEP,%202022\Wyniki%20bada&#324;%20&#380;u&#380;el%20Cu.xlsx" TargetMode="External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8.6680843561125528E-2"/>
          <c:y val="0.10639712936223152"/>
          <c:w val="0.87894447710560053"/>
          <c:h val="0.7529416199817659"/>
        </c:manualLayout>
      </c:layout>
      <c:scatterChart>
        <c:scatterStyle val="smoothMarker"/>
        <c:varyColors val="0"/>
        <c:ser>
          <c:idx val="1"/>
          <c:order val="0"/>
          <c:tx>
            <c:v>1 g/L</c:v>
          </c:tx>
          <c:spPr>
            <a:ln w="28575"/>
          </c:spPr>
          <c:marker>
            <c:symbol val="square"/>
            <c:size val="8"/>
          </c:marker>
          <c:xVal>
            <c:numRef>
              <c:f>'Initial pH'!$M$55:$M$59</c:f>
              <c:numCache>
                <c:formatCode>General</c:formatCode>
                <c:ptCount val="5"/>
                <c:pt idx="0">
                  <c:v>1.81</c:v>
                </c:pt>
                <c:pt idx="1">
                  <c:v>2.94</c:v>
                </c:pt>
                <c:pt idx="2">
                  <c:v>3.56</c:v>
                </c:pt>
                <c:pt idx="3">
                  <c:v>4.62</c:v>
                </c:pt>
                <c:pt idx="4">
                  <c:v>5.65</c:v>
                </c:pt>
              </c:numCache>
            </c:numRef>
          </c:xVal>
          <c:yVal>
            <c:numRef>
              <c:f>'Initial pH'!$O$55:$O$59</c:f>
              <c:numCache>
                <c:formatCode>General</c:formatCode>
                <c:ptCount val="5"/>
                <c:pt idx="0">
                  <c:v>17.131</c:v>
                </c:pt>
                <c:pt idx="1">
                  <c:v>16.698999999999998</c:v>
                </c:pt>
                <c:pt idx="2">
                  <c:v>16.093999999999998</c:v>
                </c:pt>
                <c:pt idx="3">
                  <c:v>15.488999999999999</c:v>
                </c:pt>
                <c:pt idx="4">
                  <c:v>14.691199999999997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66AE-4977-9149-3E06D3768B20}"/>
            </c:ext>
          </c:extLst>
        </c:ser>
        <c:ser>
          <c:idx val="0"/>
          <c:order val="1"/>
          <c:tx>
            <c:v>3 g/L</c:v>
          </c:tx>
          <c:spPr>
            <a:ln w="28575"/>
          </c:spPr>
          <c:marker>
            <c:symbol val="diamond"/>
            <c:size val="6"/>
          </c:marker>
          <c:xVal>
            <c:numRef>
              <c:f>'Initial pH'!$M$96:$M$100</c:f>
              <c:numCache>
                <c:formatCode>General</c:formatCode>
                <c:ptCount val="5"/>
                <c:pt idx="0">
                  <c:v>1.81</c:v>
                </c:pt>
                <c:pt idx="1">
                  <c:v>2.94</c:v>
                </c:pt>
                <c:pt idx="2">
                  <c:v>3.56</c:v>
                </c:pt>
                <c:pt idx="3">
                  <c:v>4.62</c:v>
                </c:pt>
                <c:pt idx="4">
                  <c:v>5.65</c:v>
                </c:pt>
              </c:numCache>
            </c:numRef>
          </c:xVal>
          <c:yVal>
            <c:numRef>
              <c:f>'Initial pH'!$O$96:$O$100</c:f>
              <c:numCache>
                <c:formatCode>General</c:formatCode>
                <c:ptCount val="5"/>
                <c:pt idx="0">
                  <c:v>17.952999999999999</c:v>
                </c:pt>
                <c:pt idx="1">
                  <c:v>17.323999999999998</c:v>
                </c:pt>
                <c:pt idx="2">
                  <c:v>16.728999999999999</c:v>
                </c:pt>
                <c:pt idx="3">
                  <c:v>16.123999999999999</c:v>
                </c:pt>
                <c:pt idx="4">
                  <c:v>15.53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66AE-4977-9149-3E06D3768B20}"/>
            </c:ext>
          </c:extLst>
        </c:ser>
        <c:ser>
          <c:idx val="2"/>
          <c:order val="2"/>
          <c:tx>
            <c:v> 5 g/L</c:v>
          </c:tx>
          <c:spPr>
            <a:ln w="28575">
              <a:solidFill>
                <a:sysClr val="windowText" lastClr="000000"/>
              </a:solidFill>
            </a:ln>
          </c:spPr>
          <c:marker>
            <c:symbol val="triangle"/>
            <c:size val="9"/>
            <c:spPr>
              <a:solidFill>
                <a:schemeClr val="tx1"/>
              </a:solidFill>
              <a:ln>
                <a:solidFill>
                  <a:schemeClr val="tx1"/>
                </a:solidFill>
              </a:ln>
            </c:spPr>
          </c:marker>
          <c:xVal>
            <c:numRef>
              <c:f>'Initial pH'!$E$146:$E$150</c:f>
              <c:numCache>
                <c:formatCode>General</c:formatCode>
                <c:ptCount val="5"/>
                <c:pt idx="0">
                  <c:v>1.81</c:v>
                </c:pt>
                <c:pt idx="1">
                  <c:v>2.94</c:v>
                </c:pt>
                <c:pt idx="2">
                  <c:v>3.56</c:v>
                </c:pt>
                <c:pt idx="3">
                  <c:v>4.62</c:v>
                </c:pt>
                <c:pt idx="4">
                  <c:v>5.65</c:v>
                </c:pt>
              </c:numCache>
            </c:numRef>
          </c:xVal>
          <c:yVal>
            <c:numRef>
              <c:f>'Initial pH'!$K$146:$K$150</c:f>
              <c:numCache>
                <c:formatCode>General</c:formatCode>
                <c:ptCount val="5"/>
                <c:pt idx="0">
                  <c:v>19.553000000000001</c:v>
                </c:pt>
                <c:pt idx="1">
                  <c:v>18.803999999999998</c:v>
                </c:pt>
                <c:pt idx="2">
                  <c:v>18.328999999999997</c:v>
                </c:pt>
                <c:pt idx="3">
                  <c:v>17.923999999999999</c:v>
                </c:pt>
                <c:pt idx="4">
                  <c:v>17.009999999999998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66AE-4977-9149-3E06D3768B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16136064"/>
        <c:axId val="316136456"/>
      </c:scatterChart>
      <c:valAx>
        <c:axId val="316136064"/>
        <c:scaling>
          <c:orientation val="minMax"/>
          <c:min val="1"/>
        </c:scaling>
        <c:delete val="0"/>
        <c:axPos val="b"/>
        <c:title>
          <c:tx>
            <c:rich>
              <a:bodyPr/>
              <a:lstStyle/>
              <a:p>
                <a:pPr>
                  <a:defRPr sz="1400" b="0">
                    <a:solidFill>
                      <a:schemeClr val="tx1"/>
                    </a:solidFill>
                  </a:defRPr>
                </a:pPr>
                <a:r>
                  <a:rPr lang="en-US" sz="1400" b="0">
                    <a:solidFill>
                      <a:schemeClr val="tx1"/>
                    </a:solidFill>
                  </a:rPr>
                  <a:t>Initial </a:t>
                </a:r>
                <a:r>
                  <a:rPr lang="pl-PL" sz="1400" b="0">
                    <a:solidFill>
                      <a:schemeClr val="tx1"/>
                    </a:solidFill>
                  </a:rPr>
                  <a:t>pH</a:t>
                </a:r>
                <a:endParaRPr lang="en-US" sz="1400" b="0">
                  <a:solidFill>
                    <a:schemeClr val="tx1"/>
                  </a:solidFill>
                </a:endParaRPr>
              </a:p>
            </c:rich>
          </c:tx>
          <c:layout>
            <c:manualLayout>
              <c:xMode val="edge"/>
              <c:yMode val="edge"/>
              <c:x val="0.49922643138539929"/>
              <c:y val="0.9598071029832369"/>
            </c:manualLayout>
          </c:layout>
          <c:overlay val="0"/>
        </c:title>
        <c:numFmt formatCode="0" sourceLinked="0"/>
        <c:majorTickMark val="out"/>
        <c:minorTickMark val="none"/>
        <c:tickLblPos val="nextTo"/>
        <c:txPr>
          <a:bodyPr/>
          <a:lstStyle/>
          <a:p>
            <a:pPr>
              <a:defRPr sz="1200">
                <a:solidFill>
                  <a:schemeClr val="tx1"/>
                </a:solidFill>
              </a:defRPr>
            </a:pPr>
            <a:endParaRPr lang="pl-PL"/>
          </a:p>
        </c:txPr>
        <c:crossAx val="316136456"/>
        <c:crosses val="autoZero"/>
        <c:crossBetween val="midCat"/>
        <c:majorUnit val="1"/>
      </c:valAx>
      <c:valAx>
        <c:axId val="316136456"/>
        <c:scaling>
          <c:orientation val="minMax"/>
          <c:max val="20"/>
          <c:min val="12"/>
        </c:scaling>
        <c:delete val="0"/>
        <c:axPos val="l"/>
        <c:majorGridlines/>
        <c:title>
          <c:tx>
            <c:rich>
              <a:bodyPr rot="-5400000" vert="horz"/>
              <a:lstStyle/>
              <a:p>
                <a:pPr>
                  <a:defRPr sz="1400" b="0">
                    <a:solidFill>
                      <a:schemeClr val="tx1"/>
                    </a:solidFill>
                  </a:defRPr>
                </a:pPr>
                <a:r>
                  <a:rPr lang="pl-PL" sz="1400" b="0" baseline="0">
                    <a:solidFill>
                      <a:schemeClr val="tx1"/>
                    </a:solidFill>
                  </a:rPr>
                  <a:t>Adsorption  capacity  Qe [mg/g]</a:t>
                </a:r>
                <a:endParaRPr lang="en-US" sz="1400" b="0">
                  <a:solidFill>
                    <a:schemeClr val="tx1"/>
                  </a:solidFill>
                </a:endParaRPr>
              </a:p>
            </c:rich>
          </c:tx>
          <c:layout>
            <c:manualLayout>
              <c:xMode val="edge"/>
              <c:yMode val="edge"/>
              <c:x val="7.9085981485376463E-4"/>
              <c:y val="0.25787307328677905"/>
            </c:manualLayout>
          </c:layout>
          <c:overlay val="0"/>
        </c:title>
        <c:numFmt formatCode="0" sourceLinked="0"/>
        <c:majorTickMark val="out"/>
        <c:minorTickMark val="none"/>
        <c:tickLblPos val="nextTo"/>
        <c:txPr>
          <a:bodyPr/>
          <a:lstStyle/>
          <a:p>
            <a:pPr>
              <a:defRPr sz="1200">
                <a:solidFill>
                  <a:schemeClr val="tx1"/>
                </a:solidFill>
              </a:defRPr>
            </a:pPr>
            <a:endParaRPr lang="pl-PL"/>
          </a:p>
        </c:txPr>
        <c:crossAx val="316136064"/>
        <c:crosses val="autoZero"/>
        <c:crossBetween val="midCat"/>
        <c:majorUnit val="2"/>
      </c:valAx>
      <c:spPr>
        <a:noFill/>
        <a:ln w="25400">
          <a:noFill/>
        </a:ln>
      </c:spPr>
    </c:plotArea>
    <c:legend>
      <c:legendPos val="t"/>
      <c:layout>
        <c:manualLayout>
          <c:xMode val="edge"/>
          <c:yMode val="edge"/>
          <c:x val="6.8212367686886464E-4"/>
          <c:y val="1.5119062618117676E-2"/>
          <c:w val="0.99931787632313118"/>
          <c:h val="8.0430833760747764E-2"/>
        </c:manualLayout>
      </c:layout>
      <c:overlay val="0"/>
      <c:txPr>
        <a:bodyPr/>
        <a:lstStyle/>
        <a:p>
          <a:pPr>
            <a:defRPr sz="1400"/>
          </a:pPr>
          <a:endParaRPr lang="pl-PL"/>
        </a:p>
      </c:txPr>
    </c:legend>
    <c:plotVisOnly val="1"/>
    <c:dispBlanksAs val="gap"/>
    <c:showDLblsOverMax val="0"/>
  </c:chart>
  <c:spPr>
    <a:ln>
      <a:noFill/>
    </a:ln>
  </c:spPr>
  <c:externalData r:id="rId2">
    <c:autoUpdate val="0"/>
  </c:externalData>
</c:chartSpace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Pakiet 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Pakiet Office">
    <a:majorFont>
      <a:latin typeface="Calibri Light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Pakiet 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Toshiba</cp:lastModifiedBy>
  <cp:revision>5</cp:revision>
  <dcterms:created xsi:type="dcterms:W3CDTF">2022-06-03T08:35:00Z</dcterms:created>
  <dcterms:modified xsi:type="dcterms:W3CDTF">2022-06-06T10:49:00Z</dcterms:modified>
</cp:coreProperties>
</file>