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2810" w:rsidRDefault="00851A92">
      <w:bookmarkStart w:id="0" w:name="_GoBack"/>
      <w:r>
        <w:rPr>
          <w:noProof/>
          <w:lang w:eastAsia="pl-PL"/>
        </w:rPr>
        <w:drawing>
          <wp:inline distT="0" distB="0" distL="0" distR="0" wp14:anchorId="2FD13671" wp14:editId="243F5D29">
            <wp:extent cx="8820000" cy="5040000"/>
            <wp:effectExtent l="0" t="0" r="635" b="8255"/>
            <wp:docPr id="2" name="Wykres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End w:id="0"/>
    </w:p>
    <w:p w:rsidR="00C228C2" w:rsidRPr="00AE2B2A" w:rsidRDefault="00AE2B2A">
      <w:pPr>
        <w:rPr>
          <w:sz w:val="32"/>
          <w:szCs w:val="32"/>
        </w:rPr>
      </w:pPr>
      <w:r w:rsidRPr="00AE2B2A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 xml:space="preserve">Fig. </w:t>
      </w:r>
      <w:r w:rsidR="009A2810">
        <w:rPr>
          <w:rFonts w:ascii="Times New Roman" w:hAnsi="Times New Roman" w:cs="Times New Roman"/>
          <w:b/>
          <w:color w:val="000000" w:themeColor="text1"/>
          <w:sz w:val="32"/>
          <w:szCs w:val="32"/>
          <w:lang w:val="en-US"/>
        </w:rPr>
        <w:t>SM10</w:t>
      </w:r>
      <w:r w:rsidRPr="00AE2B2A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 xml:space="preserve"> The impact of initial concentration of Cu(II) ions on adsorption </w:t>
      </w:r>
      <w:r w:rsidR="009A2810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capacit</w:t>
      </w:r>
      <w:r w:rsidRPr="00AE2B2A">
        <w:rPr>
          <w:rFonts w:ascii="Times New Roman" w:hAnsi="Times New Roman" w:cs="Times New Roman"/>
          <w:color w:val="000000" w:themeColor="text1"/>
          <w:sz w:val="32"/>
          <w:szCs w:val="32"/>
          <w:lang w:val="en-US"/>
        </w:rPr>
        <w:t>y</w:t>
      </w:r>
    </w:p>
    <w:sectPr w:rsidR="00C228C2" w:rsidRPr="00AE2B2A" w:rsidSect="008E44D3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4D3"/>
    <w:rsid w:val="0023333A"/>
    <w:rsid w:val="002F7CEE"/>
    <w:rsid w:val="003E7E89"/>
    <w:rsid w:val="0067251C"/>
    <w:rsid w:val="00693F47"/>
    <w:rsid w:val="00851A92"/>
    <w:rsid w:val="008E35C9"/>
    <w:rsid w:val="008E44D3"/>
    <w:rsid w:val="009A2810"/>
    <w:rsid w:val="00A0461E"/>
    <w:rsid w:val="00AE2B2A"/>
    <w:rsid w:val="00B129B0"/>
    <w:rsid w:val="00B6400F"/>
    <w:rsid w:val="00C228C2"/>
    <w:rsid w:val="00C7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FB6521-083D-4495-B837-5794D635B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C:\Moje%20dokumenty\Prace%20naukowe\Publikacje\Publikacja%2077,%20CTEP,%202022\Wyniki%20bada&#324;%20&#380;u&#380;el%20Cu.xlsx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l-P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>
        <c:manualLayout>
          <c:layoutTarget val="inner"/>
          <c:xMode val="edge"/>
          <c:yMode val="edge"/>
          <c:x val="0.10140636985140339"/>
          <c:y val="9.6198002228138749E-2"/>
          <c:w val="0.86555677948277188"/>
          <c:h val="0.76095154856304426"/>
        </c:manualLayout>
      </c:layout>
      <c:scatterChart>
        <c:scatterStyle val="lineMarker"/>
        <c:varyColors val="0"/>
        <c:ser>
          <c:idx val="1"/>
          <c:order val="0"/>
          <c:tx>
            <c:v> 2 g/L</c:v>
          </c:tx>
          <c:spPr>
            <a:ln w="19050">
              <a:noFill/>
            </a:ln>
          </c:spPr>
          <c:marker>
            <c:symbol val="square"/>
            <c:size val="6"/>
          </c:marker>
          <c:trendline>
            <c:name> 2 g/L</c:name>
            <c:spPr>
              <a:ln w="22225">
                <a:solidFill>
                  <a:srgbClr val="ED7D31"/>
                </a:solidFill>
              </a:ln>
            </c:spPr>
            <c:trendlineType val="poly"/>
            <c:order val="4"/>
            <c:dispRSqr val="0"/>
            <c:dispEq val="0"/>
          </c:trendline>
          <c:xVal>
            <c:numRef>
              <c:f>'Stężenie metalu'!$Q$104:$Q$109</c:f>
              <c:numCache>
                <c:formatCode>General</c:formatCode>
                <c:ptCount val="6"/>
                <c:pt idx="0">
                  <c:v>2.5</c:v>
                </c:pt>
                <c:pt idx="1">
                  <c:v>20.48</c:v>
                </c:pt>
                <c:pt idx="2">
                  <c:v>39.67</c:v>
                </c:pt>
                <c:pt idx="3">
                  <c:v>58.534999999999997</c:v>
                </c:pt>
                <c:pt idx="4">
                  <c:v>78.849999999999994</c:v>
                </c:pt>
                <c:pt idx="5">
                  <c:v>98.55</c:v>
                </c:pt>
              </c:numCache>
            </c:numRef>
          </c:xVal>
          <c:yVal>
            <c:numRef>
              <c:f>'Stężenie metalu'!$U$104:$U$109</c:f>
              <c:numCache>
                <c:formatCode>General</c:formatCode>
                <c:ptCount val="6"/>
                <c:pt idx="0">
                  <c:v>0.19500000000000006</c:v>
                </c:pt>
                <c:pt idx="1">
                  <c:v>5.25</c:v>
                </c:pt>
                <c:pt idx="2">
                  <c:v>13.84</c:v>
                </c:pt>
                <c:pt idx="3">
                  <c:v>23.619</c:v>
                </c:pt>
                <c:pt idx="4">
                  <c:v>34.069999999999993</c:v>
                </c:pt>
                <c:pt idx="5">
                  <c:v>43.314999999999998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0448-44C7-A332-E178AAE89CBE}"/>
            </c:ext>
          </c:extLst>
        </c:ser>
        <c:ser>
          <c:idx val="2"/>
          <c:order val="1"/>
          <c:tx>
            <c:v> 3 g/L</c:v>
          </c:tx>
          <c:spPr>
            <a:ln w="19050">
              <a:noFill/>
            </a:ln>
          </c:spPr>
          <c:marker>
            <c:symbol val="triangle"/>
            <c:size val="6"/>
            <c:spPr>
              <a:solidFill>
                <a:srgbClr val="0070C0"/>
              </a:solidFill>
              <a:ln>
                <a:solidFill>
                  <a:srgbClr val="0070C0"/>
                </a:solidFill>
              </a:ln>
            </c:spPr>
          </c:marker>
          <c:trendline>
            <c:name> 3 g/L</c:name>
            <c:spPr>
              <a:ln w="19050">
                <a:solidFill>
                  <a:srgbClr val="4472C4"/>
                </a:solidFill>
              </a:ln>
            </c:spPr>
            <c:trendlineType val="poly"/>
            <c:order val="5"/>
            <c:dispRSqr val="0"/>
            <c:dispEq val="0"/>
          </c:trendline>
          <c:xVal>
            <c:numRef>
              <c:f>'Stężenie metalu'!$Q$138:$Q$143</c:f>
              <c:numCache>
                <c:formatCode>General</c:formatCode>
                <c:ptCount val="6"/>
                <c:pt idx="0">
                  <c:v>2.5</c:v>
                </c:pt>
                <c:pt idx="1">
                  <c:v>20.48</c:v>
                </c:pt>
                <c:pt idx="2">
                  <c:v>39.67</c:v>
                </c:pt>
                <c:pt idx="3">
                  <c:v>58.534999999999997</c:v>
                </c:pt>
                <c:pt idx="4">
                  <c:v>78.849999999999994</c:v>
                </c:pt>
                <c:pt idx="5">
                  <c:v>98.55</c:v>
                </c:pt>
              </c:numCache>
            </c:numRef>
          </c:xVal>
          <c:yVal>
            <c:numRef>
              <c:f>'Stężenie metalu'!$U$138:$U$143</c:f>
              <c:numCache>
                <c:formatCode>General</c:formatCode>
                <c:ptCount val="6"/>
                <c:pt idx="0">
                  <c:v>0.25</c:v>
                </c:pt>
                <c:pt idx="1">
                  <c:v>4.18</c:v>
                </c:pt>
                <c:pt idx="2">
                  <c:v>9.9033333333333342</c:v>
                </c:pt>
                <c:pt idx="3">
                  <c:v>16.2</c:v>
                </c:pt>
                <c:pt idx="4">
                  <c:v>23.044999999999998</c:v>
                </c:pt>
                <c:pt idx="5">
                  <c:v>29.246666666666666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0448-44C7-A332-E178AAE89CBE}"/>
            </c:ext>
          </c:extLst>
        </c:ser>
        <c:ser>
          <c:idx val="3"/>
          <c:order val="2"/>
          <c:tx>
            <c:v> 4 g/L</c:v>
          </c:tx>
          <c:spPr>
            <a:ln w="19050">
              <a:noFill/>
            </a:ln>
          </c:spPr>
          <c:marker>
            <c:symbol val="square"/>
            <c:size val="6"/>
            <c:spPr>
              <a:solidFill>
                <a:srgbClr val="FF0000"/>
              </a:solidFill>
              <a:ln>
                <a:solidFill>
                  <a:srgbClr val="FF0000"/>
                </a:solidFill>
              </a:ln>
            </c:spPr>
          </c:marker>
          <c:trendline>
            <c:name> 4 g/L</c:name>
            <c:spPr>
              <a:ln w="19050">
                <a:solidFill>
                  <a:srgbClr val="FF0000"/>
                </a:solidFill>
              </a:ln>
            </c:spPr>
            <c:trendlineType val="poly"/>
            <c:order val="6"/>
            <c:dispRSqr val="0"/>
            <c:dispEq val="0"/>
          </c:trendline>
          <c:xVal>
            <c:numRef>
              <c:f>'Stężenie metalu'!$K$159:$K$164</c:f>
              <c:numCache>
                <c:formatCode>General</c:formatCode>
                <c:ptCount val="6"/>
                <c:pt idx="0">
                  <c:v>2.5</c:v>
                </c:pt>
                <c:pt idx="1">
                  <c:v>20.48</c:v>
                </c:pt>
                <c:pt idx="2">
                  <c:v>39.67</c:v>
                </c:pt>
                <c:pt idx="3">
                  <c:v>58.534999999999997</c:v>
                </c:pt>
                <c:pt idx="4">
                  <c:v>78.849999999999994</c:v>
                </c:pt>
                <c:pt idx="5">
                  <c:v>98.55</c:v>
                </c:pt>
              </c:numCache>
            </c:numRef>
          </c:xVal>
          <c:yVal>
            <c:numRef>
              <c:f>'Stężenie metalu'!$U$159:$U$164</c:f>
              <c:numCache>
                <c:formatCode>General</c:formatCode>
                <c:ptCount val="6"/>
                <c:pt idx="0">
                  <c:v>0.20749999999999999</c:v>
                </c:pt>
                <c:pt idx="1">
                  <c:v>3.4874999999999994</c:v>
                </c:pt>
                <c:pt idx="2">
                  <c:v>8.0212500000000002</c:v>
                </c:pt>
                <c:pt idx="3">
                  <c:v>12.794999999999998</c:v>
                </c:pt>
                <c:pt idx="4">
                  <c:v>17.826249999999998</c:v>
                </c:pt>
                <c:pt idx="5">
                  <c:v>22.611750000000001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0448-44C7-A332-E178AAE89CBE}"/>
            </c:ext>
          </c:extLst>
        </c:ser>
        <c:ser>
          <c:idx val="0"/>
          <c:order val="3"/>
          <c:tx>
            <c:v> 5 g/L</c:v>
          </c:tx>
          <c:spPr>
            <a:ln w="19050">
              <a:noFill/>
            </a:ln>
          </c:spPr>
          <c:marker>
            <c:symbol val="diamond"/>
            <c:size val="6"/>
            <c:spPr>
              <a:solidFill>
                <a:sysClr val="windowText" lastClr="000000"/>
              </a:solidFill>
              <a:ln>
                <a:solidFill>
                  <a:sysClr val="windowText" lastClr="000000"/>
                </a:solidFill>
              </a:ln>
            </c:spPr>
          </c:marker>
          <c:trendline>
            <c:name> 5 g/L</c:name>
            <c:spPr>
              <a:ln w="22225"/>
            </c:spPr>
            <c:trendlineType val="poly"/>
            <c:order val="5"/>
            <c:dispRSqr val="0"/>
            <c:dispEq val="0"/>
          </c:trendline>
          <c:xVal>
            <c:numRef>
              <c:f>'Stężenie metalu'!$K$175:$K$180</c:f>
              <c:numCache>
                <c:formatCode>General</c:formatCode>
                <c:ptCount val="6"/>
                <c:pt idx="0">
                  <c:v>2.5</c:v>
                </c:pt>
                <c:pt idx="1">
                  <c:v>25.48</c:v>
                </c:pt>
                <c:pt idx="2">
                  <c:v>39.67</c:v>
                </c:pt>
                <c:pt idx="3">
                  <c:v>58.534999999999997</c:v>
                </c:pt>
                <c:pt idx="4">
                  <c:v>78.849999999999994</c:v>
                </c:pt>
                <c:pt idx="5">
                  <c:v>98.55</c:v>
                </c:pt>
              </c:numCache>
            </c:numRef>
          </c:xVal>
          <c:yVal>
            <c:numRef>
              <c:f>'Stężenie metalu'!$U$175:$U$180</c:f>
              <c:numCache>
                <c:formatCode>General</c:formatCode>
                <c:ptCount val="6"/>
                <c:pt idx="0">
                  <c:v>0.22799999999999995</c:v>
                </c:pt>
                <c:pt idx="1">
                  <c:v>4.25</c:v>
                </c:pt>
                <c:pt idx="2">
                  <c:v>6.9579999999999993</c:v>
                </c:pt>
                <c:pt idx="3">
                  <c:v>10.814999999999998</c:v>
                </c:pt>
                <c:pt idx="4">
                  <c:v>15.139999999999997</c:v>
                </c:pt>
                <c:pt idx="5">
                  <c:v>19.347999999999999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0448-44C7-A332-E178AAE89CB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327656568"/>
        <c:axId val="327659312"/>
      </c:scatterChart>
      <c:valAx>
        <c:axId val="327656568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>
                    <a:solidFill>
                      <a:schemeClr val="tx1"/>
                    </a:solidFill>
                  </a:rPr>
                  <a:t>Initial</a:t>
                </a:r>
                <a:r>
                  <a:rPr lang="pl-PL" sz="1400" b="0" baseline="0">
                    <a:solidFill>
                      <a:schemeClr val="tx1"/>
                    </a:solidFill>
                  </a:rPr>
                  <a:t> concentration of Cu(II) ions</a:t>
                </a:r>
                <a:r>
                  <a:rPr lang="pl-PL" sz="1400" b="0" baseline="30000">
                    <a:solidFill>
                      <a:schemeClr val="tx1"/>
                    </a:solidFill>
                  </a:rPr>
                  <a:t> </a:t>
                </a:r>
                <a:r>
                  <a:rPr lang="pl-PL" sz="1400" b="0" baseline="0">
                    <a:solidFill>
                      <a:schemeClr val="tx1"/>
                    </a:solidFill>
                  </a:rPr>
                  <a:t>[mg/L]</a:t>
                </a:r>
                <a:endParaRPr lang="en-GB" sz="1400" b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37675541115356115"/>
              <c:y val="0.96127297745335061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27659312"/>
        <c:crosses val="autoZero"/>
        <c:crossBetween val="midCat"/>
      </c:valAx>
      <c:valAx>
        <c:axId val="327659312"/>
        <c:scaling>
          <c:orientation val="minMax"/>
          <c:min val="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1400" b="0">
                    <a:solidFill>
                      <a:schemeClr val="tx1"/>
                    </a:solidFill>
                  </a:defRPr>
                </a:pPr>
                <a:r>
                  <a:rPr lang="pl-PL" sz="1400" b="0" baseline="0">
                    <a:solidFill>
                      <a:schemeClr val="tx1"/>
                    </a:solidFill>
                  </a:rPr>
                  <a:t>Adsorption  capacity  [mg/g]</a:t>
                </a:r>
                <a:endParaRPr lang="en-GB" sz="1400" b="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4.149888060738035E-4"/>
              <c:y val="0.3029588323004288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200">
                <a:solidFill>
                  <a:schemeClr val="tx1"/>
                </a:solidFill>
              </a:defRPr>
            </a:pPr>
            <a:endParaRPr lang="pl-PL"/>
          </a:p>
        </c:txPr>
        <c:crossAx val="327656568"/>
        <c:crosses val="autoZero"/>
        <c:crossBetween val="midCat"/>
      </c:valAx>
    </c:plotArea>
    <c:legend>
      <c:legendPos val="t"/>
      <c:legendEntry>
        <c:idx val="0"/>
        <c:delete val="1"/>
      </c:legendEntry>
      <c:legendEntry>
        <c:idx val="1"/>
        <c:delete val="1"/>
      </c:legendEntry>
      <c:legendEntry>
        <c:idx val="2"/>
        <c:delete val="1"/>
      </c:legendEntry>
      <c:legendEntry>
        <c:idx val="3"/>
        <c:delete val="1"/>
      </c:legendEntry>
      <c:layout>
        <c:manualLayout>
          <c:xMode val="edge"/>
          <c:yMode val="edge"/>
          <c:x val="0"/>
          <c:y val="0"/>
          <c:w val="1"/>
          <c:h val="8.8403460717718971E-2"/>
        </c:manualLayout>
      </c:layout>
      <c:overlay val="0"/>
      <c:txPr>
        <a:bodyPr/>
        <a:lstStyle/>
        <a:p>
          <a:pPr>
            <a:defRPr sz="1400"/>
          </a:pPr>
          <a:endParaRPr lang="pl-PL"/>
        </a:p>
      </c:txPr>
    </c:legend>
    <c:plotVisOnly val="1"/>
    <c:dispBlanksAs val="gap"/>
    <c:showDLblsOverMax val="0"/>
  </c:chart>
  <c:spPr>
    <a:ln>
      <a:noFill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Pakiet 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Pakiet Office">
    <a:majorFont>
      <a:latin typeface="Calibri Light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Pakiet 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</Words>
  <Characters>74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5</cp:revision>
  <dcterms:created xsi:type="dcterms:W3CDTF">2022-06-03T10:19:00Z</dcterms:created>
  <dcterms:modified xsi:type="dcterms:W3CDTF">2022-06-06T12:47:00Z</dcterms:modified>
</cp:coreProperties>
</file>