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2FD8D" w14:textId="77777777" w:rsidR="000B61CD" w:rsidRDefault="000B61CD" w:rsidP="000B61CD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noProof/>
        </w:rPr>
        <w:drawing>
          <wp:inline distT="0" distB="0" distL="0" distR="0" wp14:anchorId="628801CE" wp14:editId="00310DBC">
            <wp:extent cx="2699385" cy="2879725"/>
            <wp:effectExtent l="0" t="0" r="571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46" t="13068" r="9046"/>
                    <a:stretch>
                      <a:fillRect/>
                    </a:stretch>
                  </pic:blipFill>
                  <pic:spPr>
                    <a:xfrm>
                      <a:off x="0" y="0"/>
                      <a:ext cx="269938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954C1" w14:textId="51A9F948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Fig.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S1 Venn diagram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for operational taxonomic units in control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GM and GI group.</w:t>
      </w:r>
    </w:p>
    <w:p w14:paraId="00CD13D4" w14:textId="567E693B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A97E5A2" w14:textId="40515E0E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C920FA3" w14:textId="5A6E9DCE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0A8CD83" w14:textId="46E10716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1D9B16E" w14:textId="5778AC04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B6BF43D" w14:textId="07859963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B5A1A8C" w14:textId="3AB92D73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D115E48" w14:textId="4E5AD143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D1AE0C4" w14:textId="5B2D887B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7CD9C93F" w14:textId="4A0A6BAC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CD19402" w14:textId="5F27C121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328F5DE" w14:textId="256D0830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2DFD84D" w14:textId="4079EB06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03A11FC" w14:textId="6ED0AAFD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63C9FD3" w14:textId="6ECC3B7D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C132272" w14:textId="751D48F3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7F8494CD" w14:textId="1C4D6680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061F0E0" w14:textId="286299F1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9B880D9" w14:textId="6633FDEA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73A0E839" w14:textId="7CD791BE" w:rsidR="000B61CD" w:rsidRDefault="000B61CD" w:rsidP="000B61CD">
      <w:pPr>
        <w:spacing w:line="360" w:lineRule="auto"/>
        <w:jc w:val="center"/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</w:pPr>
      <w:r>
        <w:rPr>
          <w:noProof/>
        </w:rPr>
        <w:lastRenderedPageBreak/>
        <w:drawing>
          <wp:inline distT="0" distB="0" distL="0" distR="0" wp14:anchorId="74FF3163" wp14:editId="67A40432">
            <wp:extent cx="3959860" cy="539940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39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89BDA" w14:textId="7ABFEBBA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S2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Linear discriminant analysis effect size (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LEfSe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) cladogram of gut microbiota in the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 xml:space="preserve"> Lymantria </w:t>
      </w:r>
      <w:proofErr w:type="spellStart"/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>dispar</w:t>
      </w:r>
      <w:proofErr w:type="spellEnd"/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larvae at the 5th instar after rearing on the leaves of GM or nonmycorrhizal-colonized plants. (A). Nodes that are not yellow mean a significant contribution to grouping. (B) LDA value of distribution histogram.</w:t>
      </w:r>
    </w:p>
    <w:p w14:paraId="499AC4CB" w14:textId="2FC32F1D" w:rsidR="009F2335" w:rsidRDefault="009F2335" w:rsidP="000B61CD">
      <w:pPr>
        <w:jc w:val="center"/>
      </w:pPr>
    </w:p>
    <w:p w14:paraId="6DF33EC7" w14:textId="27BC50EE" w:rsidR="000B61CD" w:rsidRDefault="000B61CD" w:rsidP="000B61CD">
      <w:pPr>
        <w:jc w:val="center"/>
      </w:pPr>
    </w:p>
    <w:p w14:paraId="7E797F04" w14:textId="160AC460" w:rsidR="000B61CD" w:rsidRDefault="000B61CD" w:rsidP="000B61CD">
      <w:pPr>
        <w:jc w:val="center"/>
      </w:pPr>
    </w:p>
    <w:p w14:paraId="361C5D89" w14:textId="793D0F42" w:rsidR="000B61CD" w:rsidRDefault="000B61CD" w:rsidP="000B61CD">
      <w:pPr>
        <w:jc w:val="center"/>
      </w:pPr>
    </w:p>
    <w:p w14:paraId="367F438C" w14:textId="4B4F3357" w:rsidR="000B61CD" w:rsidRDefault="000B61CD" w:rsidP="000B61CD">
      <w:pPr>
        <w:jc w:val="center"/>
      </w:pPr>
    </w:p>
    <w:p w14:paraId="38717682" w14:textId="73DC3443" w:rsidR="000B61CD" w:rsidRDefault="000B61CD" w:rsidP="000B61CD">
      <w:pPr>
        <w:jc w:val="center"/>
      </w:pPr>
    </w:p>
    <w:p w14:paraId="61CDE2C7" w14:textId="3281D0A0" w:rsidR="000B61CD" w:rsidRDefault="000B61CD" w:rsidP="000B61CD">
      <w:pPr>
        <w:jc w:val="center"/>
      </w:pPr>
    </w:p>
    <w:p w14:paraId="392D45EB" w14:textId="18E02044" w:rsidR="000B61CD" w:rsidRDefault="000B61CD" w:rsidP="000B61CD">
      <w:pPr>
        <w:jc w:val="center"/>
      </w:pPr>
    </w:p>
    <w:p w14:paraId="694286A6" w14:textId="3834861E" w:rsidR="000B61CD" w:rsidRDefault="000B61CD" w:rsidP="000B61CD">
      <w:pPr>
        <w:jc w:val="center"/>
      </w:pPr>
    </w:p>
    <w:p w14:paraId="5209F162" w14:textId="627E1730" w:rsidR="000B61CD" w:rsidRDefault="000B61CD" w:rsidP="000B61CD">
      <w:pPr>
        <w:jc w:val="center"/>
      </w:pPr>
    </w:p>
    <w:p w14:paraId="304A15D6" w14:textId="3089B785" w:rsidR="000B61CD" w:rsidRDefault="000B61CD" w:rsidP="000B61CD">
      <w:pPr>
        <w:jc w:val="center"/>
      </w:pPr>
      <w:r>
        <w:rPr>
          <w:noProof/>
        </w:rPr>
        <w:lastRenderedPageBreak/>
        <w:drawing>
          <wp:inline distT="0" distB="0" distL="0" distR="0" wp14:anchorId="7E335E9A" wp14:editId="773111ED">
            <wp:extent cx="3959860" cy="598805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9860" cy="598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27D98" w14:textId="1AB10CA7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S3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Linear discriminant analysis effect size (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LEfSe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) cladogram of gut microbiota in the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 xml:space="preserve"> Lymantria </w:t>
      </w:r>
      <w:proofErr w:type="spellStart"/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>dispar</w:t>
      </w:r>
      <w:proofErr w:type="spellEnd"/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larvae at the 5th instar after rearing on the leaves of GI or nonmycorrhizal-colonized plants. (A). Nodes that are not yellow mean a significant contribution to grouping. (B) LDA value of distribution histogram.</w:t>
      </w:r>
    </w:p>
    <w:p w14:paraId="2E523E10" w14:textId="5D8A9C3C" w:rsidR="000B61CD" w:rsidRDefault="000B61CD" w:rsidP="000B61CD">
      <w:pPr>
        <w:jc w:val="center"/>
      </w:pPr>
    </w:p>
    <w:p w14:paraId="299890E6" w14:textId="5CFB9EFF" w:rsidR="000B61CD" w:rsidRDefault="000B61CD" w:rsidP="000B61CD">
      <w:pPr>
        <w:jc w:val="center"/>
      </w:pPr>
    </w:p>
    <w:p w14:paraId="3C0F7581" w14:textId="381B99AD" w:rsidR="000B61CD" w:rsidRDefault="000B61CD" w:rsidP="000B61CD">
      <w:pPr>
        <w:jc w:val="center"/>
      </w:pPr>
    </w:p>
    <w:p w14:paraId="15E34416" w14:textId="4AB7C959" w:rsidR="000B61CD" w:rsidRDefault="000B61CD" w:rsidP="000B61CD">
      <w:pPr>
        <w:jc w:val="center"/>
      </w:pPr>
    </w:p>
    <w:p w14:paraId="07B42E82" w14:textId="2668D62B" w:rsidR="000B61CD" w:rsidRDefault="000B61CD" w:rsidP="000B61CD">
      <w:pPr>
        <w:jc w:val="center"/>
      </w:pPr>
    </w:p>
    <w:p w14:paraId="1EECF827" w14:textId="03F8C36B" w:rsidR="000B61CD" w:rsidRDefault="000B61CD" w:rsidP="000B61CD">
      <w:pPr>
        <w:jc w:val="center"/>
      </w:pPr>
    </w:p>
    <w:p w14:paraId="796D8BC7" w14:textId="7A983C10" w:rsidR="000B61CD" w:rsidRDefault="000B61CD" w:rsidP="000B61CD">
      <w:pPr>
        <w:jc w:val="center"/>
      </w:pPr>
    </w:p>
    <w:p w14:paraId="3D452BDF" w14:textId="3FBD9BC0" w:rsidR="000B61CD" w:rsidRDefault="000B61CD" w:rsidP="000B61CD">
      <w:pPr>
        <w:jc w:val="center"/>
      </w:pPr>
      <w:r>
        <w:rPr>
          <w:noProof/>
        </w:rPr>
        <w:lastRenderedPageBreak/>
        <w:drawing>
          <wp:inline distT="0" distB="0" distL="0" distR="0" wp14:anchorId="680CE0E1" wp14:editId="7630E500">
            <wp:extent cx="5274310" cy="5309870"/>
            <wp:effectExtent l="0" t="0" r="254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0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1135B" w14:textId="7D093158" w:rsidR="000B61CD" w:rsidRDefault="000B61CD" w:rsidP="000B61CD">
      <w:pPr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Fig. 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>S4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Summary of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PICRUSt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analysis</w:t>
      </w:r>
      <w:r w:rsidR="00F35511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between CK group and GM</w:t>
      </w:r>
      <w:r w:rsidR="00F35511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 w:rsidR="00F35511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group (A) or </w:t>
      </w:r>
      <w:r w:rsidR="00F35511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CK group and G</w:t>
      </w:r>
      <w:r w:rsidR="00F35511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I</w:t>
      </w:r>
      <w:r w:rsidR="00F35511"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 w:rsidR="00F35511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group</w:t>
      </w:r>
      <w:r w:rsidR="00F35511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(B)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  <w:r w:rsidRPr="000B61CD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Circles represent significant difference between CK group and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GM</w:t>
      </w:r>
      <w:r w:rsidRPr="000B61CD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/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GI</w:t>
      </w:r>
      <w:r w:rsidRPr="000B61CD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group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(</w:t>
      </w:r>
      <w:r>
        <w:rPr>
          <w:rFonts w:ascii="Times New Roman" w:hAnsi="Times New Roman" w:cs="Times New Roman"/>
          <w:color w:val="000000"/>
          <w:kern w:val="0"/>
          <w:sz w:val="24"/>
          <w:lang w:bidi="ar"/>
        </w:rPr>
        <w:t xml:space="preserve">independent-samples t-test;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>P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&lt; 0.05).</w:t>
      </w:r>
    </w:p>
    <w:p w14:paraId="1986BADA" w14:textId="60BB0EF1" w:rsidR="000B61CD" w:rsidRPr="000B61CD" w:rsidRDefault="000B61CD" w:rsidP="000B61CD">
      <w:pPr>
        <w:jc w:val="center"/>
      </w:pPr>
    </w:p>
    <w:p w14:paraId="033913EA" w14:textId="77777777" w:rsidR="000B61CD" w:rsidRPr="000B61CD" w:rsidRDefault="000B61CD" w:rsidP="000B61CD">
      <w:pPr>
        <w:jc w:val="center"/>
        <w:rPr>
          <w:rFonts w:hint="eastAsia"/>
        </w:rPr>
      </w:pPr>
    </w:p>
    <w:sectPr w:rsidR="000B61CD" w:rsidRPr="000B61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1CD"/>
    <w:rsid w:val="000B61CD"/>
    <w:rsid w:val="009F2335"/>
    <w:rsid w:val="00F3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9434A"/>
  <w15:chartTrackingRefBased/>
  <w15:docId w15:val="{C6A59471-9E0A-41A0-9CDB-F9822F94C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61C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 林宜</dc:creator>
  <cp:keywords/>
  <dc:description/>
  <cp:lastModifiedBy>孟 林宜</cp:lastModifiedBy>
  <cp:revision>1</cp:revision>
  <dcterms:created xsi:type="dcterms:W3CDTF">2022-06-07T02:19:00Z</dcterms:created>
  <dcterms:modified xsi:type="dcterms:W3CDTF">2022-06-07T02:33:00Z</dcterms:modified>
</cp:coreProperties>
</file>