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260B0" w14:textId="77777777" w:rsidR="00C8594B" w:rsidRDefault="00C8594B" w:rsidP="000D7709">
      <w:pPr>
        <w:keepNext/>
        <w:ind w:left="-567"/>
        <w:jc w:val="center"/>
      </w:pPr>
      <w:r>
        <w:rPr>
          <w:noProof/>
        </w:rPr>
        <w:drawing>
          <wp:inline distT="0" distB="0" distL="0" distR="0" wp14:anchorId="2D243FAB" wp14:editId="3F468769">
            <wp:extent cx="5605087" cy="4780483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A1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61" cy="4789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C2BEF" w14:textId="0D1F1C35" w:rsidR="00C8594B" w:rsidRPr="00C8594B" w:rsidRDefault="00C8594B" w:rsidP="00C8594B">
      <w:pPr>
        <w:pStyle w:val="Caption"/>
        <w:rPr>
          <w:sz w:val="22"/>
          <w:szCs w:val="22"/>
        </w:rPr>
      </w:pPr>
      <w:r w:rsidRPr="00C8594B">
        <w:rPr>
          <w:sz w:val="22"/>
          <w:szCs w:val="22"/>
        </w:rPr>
        <w:t>Figure A</w:t>
      </w:r>
      <w:r w:rsidRPr="00C8594B">
        <w:rPr>
          <w:sz w:val="22"/>
          <w:szCs w:val="22"/>
        </w:rPr>
        <w:fldChar w:fldCharType="begin"/>
      </w:r>
      <w:r w:rsidRPr="00C8594B">
        <w:rPr>
          <w:sz w:val="22"/>
          <w:szCs w:val="22"/>
        </w:rPr>
        <w:instrText xml:space="preserve"> SEQ Figure \* ARABIC </w:instrText>
      </w:r>
      <w:r w:rsidRPr="00C8594B">
        <w:rPr>
          <w:sz w:val="22"/>
          <w:szCs w:val="22"/>
        </w:rPr>
        <w:fldChar w:fldCharType="separate"/>
      </w:r>
      <w:r w:rsidRPr="00C8594B">
        <w:rPr>
          <w:noProof/>
          <w:sz w:val="22"/>
          <w:szCs w:val="22"/>
        </w:rPr>
        <w:t>1</w:t>
      </w:r>
      <w:r w:rsidRPr="00C8594B">
        <w:rPr>
          <w:sz w:val="22"/>
          <w:szCs w:val="22"/>
        </w:rPr>
        <w:fldChar w:fldCharType="end"/>
      </w:r>
      <w:r w:rsidRPr="00C8594B">
        <w:rPr>
          <w:sz w:val="22"/>
          <w:szCs w:val="22"/>
        </w:rPr>
        <w:t>. Photograph of the final 3D printed applicator</w:t>
      </w:r>
      <w:r w:rsidR="00761F38">
        <w:rPr>
          <w:sz w:val="22"/>
          <w:szCs w:val="22"/>
        </w:rPr>
        <w:t xml:space="preserve"> in</w:t>
      </w:r>
      <w:r w:rsidRPr="00C8594B">
        <w:rPr>
          <w:sz w:val="22"/>
          <w:szCs w:val="22"/>
        </w:rPr>
        <w:t xml:space="preserve"> inferior-superior view</w:t>
      </w:r>
      <w:r w:rsidR="00761F38">
        <w:rPr>
          <w:sz w:val="22"/>
          <w:szCs w:val="22"/>
        </w:rPr>
        <w:t xml:space="preserve">. </w:t>
      </w:r>
      <w:r w:rsidR="000D7709">
        <w:rPr>
          <w:sz w:val="22"/>
          <w:szCs w:val="22"/>
        </w:rPr>
        <w:t>This figure also demonstrates the placement of the OSLDs for our end-to-end dosimetric test.</w:t>
      </w:r>
    </w:p>
    <w:p w14:paraId="0108FF0B" w14:textId="2510DA30" w:rsidR="00D518C4" w:rsidRDefault="00D518C4" w:rsidP="00D518C4">
      <w:pPr>
        <w:keepNext/>
        <w:ind w:left="-567"/>
      </w:pPr>
      <w:r>
        <w:rPr>
          <w:noProof/>
        </w:rPr>
        <w:lastRenderedPageBreak/>
        <w:drawing>
          <wp:inline distT="0" distB="0" distL="0" distR="0" wp14:anchorId="77C3F344" wp14:editId="0B689E84">
            <wp:extent cx="8818945" cy="2343742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A1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8945" cy="2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41E89" w14:textId="155308B1" w:rsidR="00D518C4" w:rsidRPr="00D518C4" w:rsidRDefault="00D518C4" w:rsidP="00D518C4">
      <w:pPr>
        <w:pStyle w:val="Caption"/>
        <w:rPr>
          <w:color w:val="auto"/>
          <w:sz w:val="22"/>
          <w:szCs w:val="22"/>
        </w:rPr>
      </w:pPr>
      <w:r w:rsidRPr="00D518C4">
        <w:rPr>
          <w:color w:val="auto"/>
          <w:sz w:val="22"/>
          <w:szCs w:val="22"/>
        </w:rPr>
        <w:t>Figure A</w:t>
      </w:r>
      <w:r w:rsidR="00C8594B">
        <w:rPr>
          <w:color w:val="auto"/>
          <w:sz w:val="22"/>
          <w:szCs w:val="22"/>
        </w:rPr>
        <w:t>2</w:t>
      </w:r>
      <w:r w:rsidRPr="00D518C4">
        <w:rPr>
          <w:color w:val="auto"/>
          <w:sz w:val="22"/>
          <w:szCs w:val="22"/>
        </w:rPr>
        <w:t>. Applicator placement at time of simulation</w:t>
      </w:r>
      <w:r w:rsidR="00E00CA4">
        <w:rPr>
          <w:color w:val="auto"/>
          <w:sz w:val="22"/>
          <w:szCs w:val="22"/>
        </w:rPr>
        <w:t>.</w:t>
      </w:r>
    </w:p>
    <w:p w14:paraId="0D76F79D" w14:textId="77777777" w:rsidR="00614114" w:rsidRDefault="00614114" w:rsidP="00614114">
      <w:pPr>
        <w:keepNext/>
        <w:ind w:left="-567"/>
      </w:pPr>
    </w:p>
    <w:p w14:paraId="230A7155" w14:textId="1FC96D68" w:rsidR="00614114" w:rsidRDefault="00614114" w:rsidP="00614114">
      <w:pPr>
        <w:keepNext/>
        <w:ind w:left="-567"/>
      </w:pPr>
      <w:r>
        <w:rPr>
          <w:noProof/>
        </w:rPr>
        <w:drawing>
          <wp:inline distT="0" distB="0" distL="0" distR="0" wp14:anchorId="155F7DAF" wp14:editId="71A9A11C">
            <wp:extent cx="8507940" cy="2456953"/>
            <wp:effectExtent l="0" t="0" r="762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A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7940" cy="245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205B1" w14:textId="28AB6468" w:rsidR="00614114" w:rsidRPr="00614114" w:rsidRDefault="00614114" w:rsidP="00614114">
      <w:pPr>
        <w:pStyle w:val="Caption"/>
        <w:rPr>
          <w:sz w:val="22"/>
          <w:szCs w:val="22"/>
        </w:rPr>
      </w:pPr>
      <w:r w:rsidRPr="00614114">
        <w:rPr>
          <w:sz w:val="22"/>
          <w:szCs w:val="22"/>
        </w:rPr>
        <w:t xml:space="preserve">Figure </w:t>
      </w:r>
      <w:r w:rsidR="00C8594B">
        <w:rPr>
          <w:sz w:val="22"/>
          <w:szCs w:val="22"/>
        </w:rPr>
        <w:t>A3</w:t>
      </w:r>
      <w:r w:rsidRPr="00614114">
        <w:rPr>
          <w:sz w:val="22"/>
          <w:szCs w:val="22"/>
        </w:rPr>
        <w:t>. Registration between the CT of the applicator and the patient HDR plan</w:t>
      </w:r>
      <w:r>
        <w:rPr>
          <w:sz w:val="22"/>
          <w:szCs w:val="22"/>
        </w:rPr>
        <w:t>.</w:t>
      </w:r>
      <w:r w:rsidR="00403258">
        <w:rPr>
          <w:sz w:val="22"/>
          <w:szCs w:val="22"/>
        </w:rPr>
        <w:t xml:space="preserve"> One of t</w:t>
      </w:r>
      <w:r>
        <w:rPr>
          <w:sz w:val="22"/>
          <w:szCs w:val="22"/>
        </w:rPr>
        <w:t>he location</w:t>
      </w:r>
      <w:r w:rsidR="00403258">
        <w:rPr>
          <w:sz w:val="22"/>
          <w:szCs w:val="22"/>
        </w:rPr>
        <w:t>s</w:t>
      </w:r>
      <w:r>
        <w:rPr>
          <w:sz w:val="22"/>
          <w:szCs w:val="22"/>
        </w:rPr>
        <w:t xml:space="preserve"> of the OSLDs is depicted by the white x-mark</w:t>
      </w:r>
      <w:r w:rsidRPr="00614114">
        <w:rPr>
          <w:sz w:val="22"/>
          <w:szCs w:val="22"/>
        </w:rPr>
        <w:t>.</w:t>
      </w:r>
    </w:p>
    <w:p w14:paraId="27230170" w14:textId="64C14478" w:rsidR="00B50AD8" w:rsidRDefault="00B50AD8" w:rsidP="00B50AD8">
      <w:pPr>
        <w:keepNext/>
        <w:ind w:left="-567"/>
      </w:pPr>
      <w:r>
        <w:rPr>
          <w:noProof/>
        </w:rPr>
        <w:lastRenderedPageBreak/>
        <w:drawing>
          <wp:inline distT="0" distB="0" distL="0" distR="0" wp14:anchorId="3A183D3C" wp14:editId="6834BC68">
            <wp:extent cx="8733453" cy="2939143"/>
            <wp:effectExtent l="0" t="0" r="0" b="0"/>
            <wp:docPr id="2" name="Picture 2" descr="A picture containing black, table, pair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A1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4250" cy="2959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0FC7F" w14:textId="17A1B18E" w:rsidR="000730BF" w:rsidRPr="00D518C4" w:rsidRDefault="00B50AD8" w:rsidP="00B50AD8">
      <w:pPr>
        <w:pStyle w:val="Caption"/>
        <w:rPr>
          <w:color w:val="auto"/>
          <w:sz w:val="22"/>
          <w:szCs w:val="22"/>
        </w:rPr>
      </w:pPr>
      <w:r w:rsidRPr="00D518C4">
        <w:rPr>
          <w:color w:val="auto"/>
          <w:sz w:val="22"/>
          <w:szCs w:val="22"/>
        </w:rPr>
        <w:t xml:space="preserve">Figure </w:t>
      </w:r>
      <w:r w:rsidR="00386D92" w:rsidRPr="00D518C4">
        <w:rPr>
          <w:color w:val="auto"/>
          <w:sz w:val="22"/>
          <w:szCs w:val="22"/>
        </w:rPr>
        <w:t>A</w:t>
      </w:r>
      <w:r w:rsidR="00C8594B">
        <w:rPr>
          <w:color w:val="auto"/>
          <w:sz w:val="22"/>
          <w:szCs w:val="22"/>
        </w:rPr>
        <w:t>4</w:t>
      </w:r>
      <w:r w:rsidRPr="00D518C4">
        <w:rPr>
          <w:color w:val="auto"/>
          <w:sz w:val="22"/>
          <w:szCs w:val="22"/>
        </w:rPr>
        <w:t>. Illustration of applicator fit at two CT slices demonstrating</w:t>
      </w:r>
      <w:r w:rsidR="00A8561A" w:rsidRPr="00D518C4">
        <w:rPr>
          <w:color w:val="auto"/>
          <w:sz w:val="22"/>
          <w:szCs w:val="22"/>
        </w:rPr>
        <w:t xml:space="preserve"> in panel </w:t>
      </w:r>
      <w:r w:rsidR="00A8561A" w:rsidRPr="00D518C4">
        <w:rPr>
          <w:b/>
          <w:bCs/>
          <w:color w:val="auto"/>
          <w:sz w:val="22"/>
          <w:szCs w:val="22"/>
        </w:rPr>
        <w:t>(a)</w:t>
      </w:r>
      <w:r w:rsidRPr="00D518C4">
        <w:rPr>
          <w:color w:val="auto"/>
          <w:sz w:val="22"/>
          <w:szCs w:val="22"/>
        </w:rPr>
        <w:t xml:space="preserve"> a flush fit and</w:t>
      </w:r>
      <w:r w:rsidR="00A8561A" w:rsidRPr="00D518C4">
        <w:rPr>
          <w:color w:val="auto"/>
          <w:sz w:val="22"/>
          <w:szCs w:val="22"/>
        </w:rPr>
        <w:t xml:space="preserve"> </w:t>
      </w:r>
      <w:r w:rsidR="00A8561A" w:rsidRPr="00D518C4">
        <w:rPr>
          <w:b/>
          <w:bCs/>
          <w:color w:val="auto"/>
          <w:sz w:val="22"/>
          <w:szCs w:val="22"/>
        </w:rPr>
        <w:t>(b)</w:t>
      </w:r>
      <w:r w:rsidRPr="00D518C4">
        <w:rPr>
          <w:color w:val="auto"/>
          <w:sz w:val="22"/>
          <w:szCs w:val="22"/>
        </w:rPr>
        <w:t xml:space="preserve"> the maximum airgap. While the surface of the applicator was generally flush with the orbit, we observe a maximum airgap of approximately 8.0 mm, comparable to previously published values</w:t>
      </w:r>
      <w:r w:rsidR="00A90139">
        <w:rPr>
          <w:color w:val="auto"/>
          <w:sz w:val="22"/>
          <w:szCs w:val="22"/>
        </w:rPr>
        <w:t xml:space="preserve"> by Baltz et al.</w:t>
      </w:r>
    </w:p>
    <w:sectPr w:rsidR="000730BF" w:rsidRPr="00D518C4" w:rsidSect="00B50AD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AD8"/>
    <w:rsid w:val="000730BF"/>
    <w:rsid w:val="000D7709"/>
    <w:rsid w:val="00386D92"/>
    <w:rsid w:val="00403258"/>
    <w:rsid w:val="00614114"/>
    <w:rsid w:val="00712D3F"/>
    <w:rsid w:val="00761F38"/>
    <w:rsid w:val="009E7540"/>
    <w:rsid w:val="00A8561A"/>
    <w:rsid w:val="00A90139"/>
    <w:rsid w:val="00AC03BE"/>
    <w:rsid w:val="00B50AD8"/>
    <w:rsid w:val="00C8594B"/>
    <w:rsid w:val="00D518C4"/>
    <w:rsid w:val="00E00CA4"/>
    <w:rsid w:val="00E5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8D0E1"/>
  <w15:chartTrackingRefBased/>
  <w15:docId w15:val="{FF6F5265-A223-46D5-A713-EE64D173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50AD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4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Ergys Subashi</dc:creator>
  <cp:keywords/>
  <dc:description/>
  <cp:lastModifiedBy>Ergys Subashi</cp:lastModifiedBy>
  <cp:revision>12</cp:revision>
  <dcterms:created xsi:type="dcterms:W3CDTF">2020-05-19T01:55:00Z</dcterms:created>
  <dcterms:modified xsi:type="dcterms:W3CDTF">2020-05-23T03:39:00Z</dcterms:modified>
</cp:coreProperties>
</file>