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F74FC" w14:textId="77777777" w:rsidR="001D2B15" w:rsidRPr="005C271A" w:rsidRDefault="001D2B15" w:rsidP="001D2B15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5C271A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Information</w:t>
      </w:r>
    </w:p>
    <w:p w14:paraId="43B7D577" w14:textId="3B2B9907" w:rsidR="001D2B15" w:rsidRDefault="001D2B15" w:rsidP="001D2B15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29A7D42" w14:textId="5948BA08" w:rsidR="001D2B15" w:rsidRDefault="001D2B15" w:rsidP="001D2B15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Online Resource 2</w:t>
      </w:r>
    </w:p>
    <w:p w14:paraId="6B0C7FEE" w14:textId="77777777" w:rsidR="001D2B15" w:rsidRDefault="001D2B15" w:rsidP="001D2B15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E8521F9" w14:textId="77777777" w:rsidR="001D2B15" w:rsidRPr="00BB11E4" w:rsidRDefault="001D2B15" w:rsidP="001D2B1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A</w:t>
      </w:r>
      <w:r w:rsidRPr="00BB11E4">
        <w:rPr>
          <w:rFonts w:ascii="Times New Roman" w:hAnsi="Times New Roman" w:cs="Times New Roman"/>
          <w:b/>
          <w:bCs/>
          <w:sz w:val="20"/>
          <w:szCs w:val="20"/>
          <w:lang w:val="en-US"/>
        </w:rPr>
        <w:t>rticle title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: </w:t>
      </w:r>
      <w:r w:rsidRPr="00BB11E4">
        <w:rPr>
          <w:rFonts w:ascii="Times New Roman" w:hAnsi="Times New Roman" w:cs="Times New Roman"/>
          <w:sz w:val="20"/>
          <w:szCs w:val="20"/>
          <w:lang w:val="en-US"/>
        </w:rPr>
        <w:t>Prefeasibility analysis of low-scale biorefineries: annatto and açai case</w:t>
      </w:r>
    </w:p>
    <w:p w14:paraId="5475554D" w14:textId="77777777" w:rsidR="001D2B15" w:rsidRDefault="001D2B15" w:rsidP="001D2B15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J</w:t>
      </w:r>
      <w:r w:rsidRPr="00BB11E4">
        <w:rPr>
          <w:rFonts w:ascii="Times New Roman" w:hAnsi="Times New Roman" w:cs="Times New Roman"/>
          <w:b/>
          <w:bCs/>
          <w:sz w:val="20"/>
          <w:szCs w:val="20"/>
          <w:lang w:val="en-US"/>
        </w:rPr>
        <w:t>ournal name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: </w:t>
      </w:r>
      <w:r w:rsidRPr="00BB11E4">
        <w:rPr>
          <w:rFonts w:ascii="Times New Roman" w:hAnsi="Times New Roman" w:cs="Times New Roman"/>
          <w:sz w:val="20"/>
          <w:szCs w:val="20"/>
          <w:lang w:val="en-US"/>
        </w:rPr>
        <w:t>Food and Bioprocess Technology</w:t>
      </w:r>
    </w:p>
    <w:p w14:paraId="345650F3" w14:textId="77777777" w:rsidR="001D2B15" w:rsidRPr="00BB11E4" w:rsidRDefault="001D2B15" w:rsidP="001D2B15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BB11E4">
        <w:rPr>
          <w:rFonts w:ascii="Times New Roman" w:hAnsi="Times New Roman" w:cs="Times New Roman"/>
          <w:b/>
          <w:bCs/>
          <w:sz w:val="20"/>
          <w:szCs w:val="20"/>
        </w:rPr>
        <w:t>Author</w:t>
      </w:r>
      <w:proofErr w:type="spellEnd"/>
      <w:r w:rsidRPr="00BB11E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BB11E4">
        <w:rPr>
          <w:rFonts w:ascii="Times New Roman" w:hAnsi="Times New Roman" w:cs="Times New Roman"/>
          <w:b/>
          <w:bCs/>
          <w:sz w:val="20"/>
          <w:szCs w:val="20"/>
        </w:rPr>
        <w:t>names</w:t>
      </w:r>
      <w:proofErr w:type="spellEnd"/>
      <w:r w:rsidRPr="00BB11E4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BB11E4">
        <w:rPr>
          <w:rFonts w:ascii="Times New Roman" w:hAnsi="Times New Roman" w:cs="Times New Roman"/>
          <w:sz w:val="20"/>
          <w:szCs w:val="20"/>
        </w:rPr>
        <w:t>Jhonny Alejandro Poveda-Giraldo</w:t>
      </w:r>
      <w:r w:rsidRPr="00BB11E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B11E4">
        <w:rPr>
          <w:rFonts w:ascii="Times New Roman" w:hAnsi="Times New Roman" w:cs="Times New Roman"/>
          <w:sz w:val="20"/>
          <w:szCs w:val="20"/>
        </w:rPr>
        <w:t>, Sara Piedrahita-Rodríguez</w:t>
      </w:r>
      <w:r w:rsidRPr="00BB11E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B11E4">
        <w:rPr>
          <w:rFonts w:ascii="Times New Roman" w:hAnsi="Times New Roman" w:cs="Times New Roman"/>
          <w:sz w:val="20"/>
          <w:szCs w:val="20"/>
        </w:rPr>
        <w:t>, Natalia Salgado Aristizabal</w:t>
      </w:r>
      <w:r w:rsidRPr="00BB11E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B11E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BB11E4">
        <w:rPr>
          <w:rFonts w:ascii="Times New Roman" w:hAnsi="Times New Roman" w:cs="Times New Roman"/>
          <w:sz w:val="20"/>
          <w:szCs w:val="20"/>
        </w:rPr>
        <w:t>Haminton</w:t>
      </w:r>
      <w:proofErr w:type="spellEnd"/>
      <w:r w:rsidRPr="00BB11E4">
        <w:rPr>
          <w:rFonts w:ascii="Times New Roman" w:hAnsi="Times New Roman" w:cs="Times New Roman"/>
          <w:sz w:val="20"/>
          <w:szCs w:val="20"/>
        </w:rPr>
        <w:t xml:space="preserve"> Salas Moreno</w:t>
      </w:r>
      <w:r w:rsidRPr="00BB11E4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B11E4">
        <w:rPr>
          <w:rFonts w:ascii="Times New Roman" w:hAnsi="Times New Roman" w:cs="Times New Roman"/>
          <w:sz w:val="20"/>
          <w:szCs w:val="20"/>
        </w:rPr>
        <w:t>, Carlos Ariel Cardona Alzate</w:t>
      </w:r>
      <w:r w:rsidRPr="00BB11E4">
        <w:rPr>
          <w:rFonts w:ascii="Times New Roman" w:hAnsi="Times New Roman" w:cs="Times New Roman"/>
          <w:sz w:val="20"/>
          <w:szCs w:val="20"/>
          <w:vertAlign w:val="superscript"/>
        </w:rPr>
        <w:t>1</w:t>
      </w:r>
    </w:p>
    <w:p w14:paraId="6E6C5C48" w14:textId="77777777" w:rsidR="001D2B15" w:rsidRPr="00BB11E4" w:rsidRDefault="001D2B15" w:rsidP="001D2B1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A</w:t>
      </w:r>
      <w:r w:rsidRPr="00BB11E4">
        <w:rPr>
          <w:rFonts w:ascii="Times New Roman" w:hAnsi="Times New Roman" w:cs="Times New Roman"/>
          <w:b/>
          <w:bCs/>
          <w:sz w:val="20"/>
          <w:szCs w:val="20"/>
          <w:lang w:val="en-US"/>
        </w:rPr>
        <w:t>ffiliation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BB11E4">
        <w:rPr>
          <w:lang w:val="en-US"/>
        </w:rPr>
        <w:t xml:space="preserve"> </w:t>
      </w:r>
      <w:r w:rsidRPr="00BB11E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BB11E4">
        <w:rPr>
          <w:rFonts w:ascii="Times New Roman" w:hAnsi="Times New Roman" w:cs="Times New Roman"/>
          <w:sz w:val="20"/>
          <w:szCs w:val="20"/>
          <w:lang w:val="en-US"/>
        </w:rPr>
        <w:t xml:space="preserve">Institute of Biotechnology and Agribusiness, Department of Chemical Engineering, Universidad Nacional de Colombia </w:t>
      </w:r>
      <w:proofErr w:type="spellStart"/>
      <w:r w:rsidRPr="00BB11E4">
        <w:rPr>
          <w:rFonts w:ascii="Times New Roman" w:hAnsi="Times New Roman" w:cs="Times New Roman"/>
          <w:sz w:val="20"/>
          <w:szCs w:val="20"/>
          <w:lang w:val="en-US"/>
        </w:rPr>
        <w:t>sede</w:t>
      </w:r>
      <w:proofErr w:type="spellEnd"/>
      <w:r w:rsidRPr="00BB11E4">
        <w:rPr>
          <w:rFonts w:ascii="Times New Roman" w:hAnsi="Times New Roman" w:cs="Times New Roman"/>
          <w:sz w:val="20"/>
          <w:szCs w:val="20"/>
          <w:lang w:val="en-US"/>
        </w:rPr>
        <w:t xml:space="preserve"> Manizales, Manizales, Colombia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4E1D2679" w14:textId="77777777" w:rsidR="001D2B15" w:rsidRPr="00BB11E4" w:rsidRDefault="001D2B15" w:rsidP="001D2B1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BB11E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BB11E4">
        <w:rPr>
          <w:rFonts w:ascii="Times New Roman" w:hAnsi="Times New Roman" w:cs="Times New Roman"/>
          <w:sz w:val="20"/>
          <w:szCs w:val="20"/>
          <w:lang w:val="en-US"/>
        </w:rPr>
        <w:t xml:space="preserve">Biology Department, Faculty of Natural Sciences, Universidad </w:t>
      </w:r>
      <w:proofErr w:type="spellStart"/>
      <w:r w:rsidRPr="00BB11E4">
        <w:rPr>
          <w:rFonts w:ascii="Times New Roman" w:hAnsi="Times New Roman" w:cs="Times New Roman"/>
          <w:sz w:val="20"/>
          <w:szCs w:val="20"/>
          <w:lang w:val="en-US"/>
        </w:rPr>
        <w:t>Tecnológica</w:t>
      </w:r>
      <w:proofErr w:type="spellEnd"/>
      <w:r w:rsidRPr="00BB11E4">
        <w:rPr>
          <w:rFonts w:ascii="Times New Roman" w:hAnsi="Times New Roman" w:cs="Times New Roman"/>
          <w:sz w:val="20"/>
          <w:szCs w:val="20"/>
          <w:lang w:val="en-US"/>
        </w:rPr>
        <w:t xml:space="preserve"> del Chocó, </w:t>
      </w:r>
      <w:proofErr w:type="spellStart"/>
      <w:r w:rsidRPr="00BB11E4">
        <w:rPr>
          <w:rFonts w:ascii="Times New Roman" w:hAnsi="Times New Roman" w:cs="Times New Roman"/>
          <w:sz w:val="20"/>
          <w:szCs w:val="20"/>
          <w:lang w:val="en-US"/>
        </w:rPr>
        <w:t>Quibdó</w:t>
      </w:r>
      <w:proofErr w:type="spellEnd"/>
      <w:r w:rsidRPr="00BB11E4">
        <w:rPr>
          <w:rFonts w:ascii="Times New Roman" w:hAnsi="Times New Roman" w:cs="Times New Roman"/>
          <w:sz w:val="20"/>
          <w:szCs w:val="20"/>
          <w:lang w:val="en-US"/>
        </w:rPr>
        <w:t>, Chocó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4F59D496" w14:textId="3FA2491D" w:rsidR="001D2B15" w:rsidRDefault="001D2B15" w:rsidP="001D2B1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BB11E4">
        <w:rPr>
          <w:rFonts w:ascii="Times New Roman" w:hAnsi="Times New Roman" w:cs="Times New Roman"/>
          <w:b/>
          <w:bCs/>
          <w:sz w:val="20"/>
          <w:szCs w:val="20"/>
          <w:lang w:val="en-US"/>
        </w:rPr>
        <w:t>e-mail address of the corresponding author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: </w:t>
      </w:r>
      <w:hyperlink r:id="rId4" w:history="1">
        <w:r w:rsidRPr="001176A6">
          <w:rPr>
            <w:rStyle w:val="Hipervnculo"/>
            <w:rFonts w:ascii="Times New Roman" w:hAnsi="Times New Roman" w:cs="Times New Roman"/>
            <w:sz w:val="20"/>
            <w:szCs w:val="20"/>
            <w:lang w:val="en-US"/>
          </w:rPr>
          <w:t>ccardonaal@unal.edu.co</w:t>
        </w:r>
      </w:hyperlink>
    </w:p>
    <w:p w14:paraId="76C60DF2" w14:textId="50DA01C9" w:rsidR="001D2B15" w:rsidRDefault="001D2B15" w:rsidP="001D2B1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</w:p>
    <w:p w14:paraId="56835ED9" w14:textId="08DA9B14" w:rsidR="001D2B15" w:rsidRDefault="001D2B15" w:rsidP="001D2B1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</w:p>
    <w:p w14:paraId="4305CBCA" w14:textId="45716F30" w:rsidR="001D2B15" w:rsidRPr="005C271A" w:rsidRDefault="001D2B15" w:rsidP="001D2B15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T</w:t>
      </w:r>
      <w:r w:rsidRPr="005C271A">
        <w:rPr>
          <w:rFonts w:ascii="Times New Roman" w:hAnsi="Times New Roman" w:cs="Times New Roman"/>
          <w:b/>
          <w:bCs/>
          <w:sz w:val="20"/>
          <w:szCs w:val="20"/>
          <w:lang w:val="en-US"/>
        </w:rPr>
        <w:t>able 1 Mass and energy indicators for techno-energetic analysis</w:t>
      </w:r>
    </w:p>
    <w:p w14:paraId="5067DAB3" w14:textId="77777777" w:rsidR="001D2B15" w:rsidRPr="005C271A" w:rsidRDefault="001D2B15" w:rsidP="001D2B15">
      <w:pPr>
        <w:spacing w:after="0" w:line="276" w:lineRule="auto"/>
        <w:contextualSpacing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3397"/>
        <w:gridCol w:w="5431"/>
      </w:tblGrid>
      <w:tr w:rsidR="001D2B15" w:rsidRPr="005C271A" w14:paraId="510BABC4" w14:textId="77777777" w:rsidTr="008B4ED5">
        <w:trPr>
          <w:trHeight w:val="340"/>
          <w:tblHeader/>
        </w:trPr>
        <w:tc>
          <w:tcPr>
            <w:tcW w:w="5000" w:type="pct"/>
            <w:gridSpan w:val="2"/>
            <w:noWrap/>
          </w:tcPr>
          <w:p w14:paraId="3B3DE875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bookmarkStart w:id="0" w:name="_Hlk103254244"/>
            <w:r w:rsidRPr="005C271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Mass indicators</w:t>
            </w:r>
          </w:p>
        </w:tc>
      </w:tr>
      <w:tr w:rsidR="001D2B15" w:rsidRPr="001D2B15" w14:paraId="6FA02429" w14:textId="77777777" w:rsidTr="008B4ED5">
        <w:trPr>
          <w:trHeight w:val="340"/>
        </w:trPr>
        <w:tc>
          <w:tcPr>
            <w:tcW w:w="1924" w:type="pct"/>
            <w:noWrap/>
          </w:tcPr>
          <w:p w14:paraId="47C9612F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5C271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Product yield </w:t>
            </w:r>
            <m:oMath>
              <m:r>
                <w:rPr>
                  <w:rFonts w:ascii="Cambria Math" w:eastAsia="Times New Roman" w:hAnsi="Cambria Math" w:cs="Times New Roman"/>
                  <w:sz w:val="20"/>
                  <w:szCs w:val="20"/>
                  <w:lang w:val="en-US" w:eastAsia="es-CO"/>
                </w:rPr>
                <m:t>(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sz w:val="20"/>
                      <w:szCs w:val="20"/>
                      <w:lang w:val="en-US" w:eastAsia="es-CO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 w:eastAsia="es-CO"/>
                    </w:rPr>
                    <m:t>Y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 w:eastAsia="es-CO"/>
                    </w:rPr>
                    <m:t>P</m:t>
                  </m:r>
                </m:sub>
              </m:sSub>
              <m:r>
                <w:rPr>
                  <w:rFonts w:ascii="Cambria Math" w:eastAsia="Times New Roman" w:hAnsi="Cambria Math" w:cs="Times New Roman"/>
                  <w:sz w:val="20"/>
                  <w:szCs w:val="20"/>
                  <w:lang w:val="en-US" w:eastAsia="es-CO"/>
                </w:rPr>
                <m:t>)</m:t>
              </m:r>
            </m:oMath>
          </w:p>
          <w:p w14:paraId="13A21FE5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</w:p>
          <w:p w14:paraId="4DAE432C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en-US" w:eastAsia="es-CO"/>
                      </w:rPr>
                      <m:t>Y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en-US" w:eastAsia="es-CO"/>
                      </w:rPr>
                      <m:t>P</m:t>
                    </m:r>
                  </m:sub>
                </m:sSub>
                <m:r>
                  <m:rPr>
                    <m:nor/>
                  </m:r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en-US" w:eastAsia="es-CO"/>
                  </w:rPr>
                  <m:t xml:space="preserve"> = 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accPr>
                          <m:e>
                            <m:r>
                              <m:rPr>
                                <m:nor/>
                              </m:r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m</m:t>
                            </m:r>
                          </m:e>
                        </m:acc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en-US" w:eastAsia="es-CO"/>
                          </w:rPr>
                          <m:t xml:space="preserve">Product, </m:t>
                        </m:r>
                        <w:proofErr w:type="spellStart"/>
                        <m:r>
                          <m:rPr>
                            <m:nor/>
                          </m:r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en-US" w:eastAsia="es-CO"/>
                          </w:rPr>
                          <m:t>i</m:t>
                        </m:r>
                        <w:proofErr w:type="spellEnd"/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accPr>
                          <m:e>
                            <m:r>
                              <m:rPr>
                                <m:nor/>
                              </m:r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m</m:t>
                            </m:r>
                          </m:e>
                        </m:acc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en-US" w:eastAsia="es-CO"/>
                          </w:rPr>
                          <m:t>Raw material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3076" w:type="pct"/>
          </w:tcPr>
          <w:p w14:paraId="3153C48E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5C271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Mass loss index </w:t>
            </w:r>
            <m:oMath>
              <m:r>
                <w:rPr>
                  <w:rFonts w:ascii="Cambria Math" w:eastAsia="Times New Roman" w:hAnsi="Cambria Math" w:cs="Times New Roman"/>
                  <w:sz w:val="20"/>
                  <w:szCs w:val="20"/>
                  <w:lang w:val="en-US" w:eastAsia="es-CO"/>
                </w:rPr>
                <m:t>(</m:t>
              </m:r>
              <m:r>
                <m:rPr>
                  <m:nor/>
                </m:rPr>
                <w:rPr>
                  <w:rFonts w:ascii="Times New Roman" w:eastAsia="Times New Roman" w:hAnsi="Times New Roman" w:cs="Times New Roman"/>
                  <w:sz w:val="20"/>
                  <w:szCs w:val="20"/>
                  <w:lang w:val="en-US" w:eastAsia="es-CO"/>
                </w:rPr>
                <m:t>MLI)</m:t>
              </m:r>
            </m:oMath>
          </w:p>
          <w:p w14:paraId="75A83FB1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</w:p>
          <w:p w14:paraId="52A06DC6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m:oMathPara>
              <m:oMath>
                <m:r>
                  <m:rPr>
                    <m:nor/>
                  </m:r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en-US" w:eastAsia="es-CO"/>
                  </w:rPr>
                  <m:t xml:space="preserve">MLI = 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i=1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N</m:t>
                        </m: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sSubSupPr>
                          <m:e>
                            <m:acc>
                              <m:accPr>
                                <m:chr m:val="̇"/>
                                <m:ctrl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</m:ctrlPr>
                              </m:acc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  <m:t>m</m:t>
                                </m:r>
                              </m:e>
                            </m:acc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i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in</m:t>
                            </m:r>
                          </m:sup>
                        </m:sSubSup>
                      </m:e>
                    </m:nary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accPr>
                          <m:e>
                            <m:r>
                              <m:rPr>
                                <m:nor/>
                              </m:r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- m</m:t>
                            </m:r>
                          </m:e>
                        </m:acc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en-US" w:eastAsia="es-CO"/>
                          </w:rPr>
                          <m:t xml:space="preserve">Product, </m:t>
                        </m:r>
                        <w:proofErr w:type="spellStart"/>
                        <m:r>
                          <m:rPr>
                            <m:nor/>
                          </m:r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en-US" w:eastAsia="es-CO"/>
                          </w:rPr>
                          <m:t>i</m:t>
                        </m:r>
                        <w:proofErr w:type="spellEnd"/>
                      </m:sub>
                    </m:sSub>
                  </m:num>
                  <m:den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sSubPr>
                          <m:e>
                            <m:acc>
                              <m:accPr>
                                <m:chr m:val="̇"/>
                                <m:ctrl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</m:ctrlPr>
                              </m:accPr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  <m:t>m</m:t>
                                </m:r>
                              </m:e>
                            </m:acc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s-CO"/>
                              </w:rPr>
                              <m:t xml:space="preserve">Product, </m:t>
                            </m:r>
                            <w:proofErr w:type="spellStart"/>
                            <m:r>
                              <m:rPr>
                                <m:nor/>
                              </m:r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i</m:t>
                            </m:r>
                            <w:proofErr w:type="spellEnd"/>
                          </m:sub>
                        </m:sSub>
                      </m:e>
                    </m:nary>
                  </m:den>
                </m:f>
              </m:oMath>
            </m:oMathPara>
          </w:p>
        </w:tc>
      </w:tr>
      <w:tr w:rsidR="001D2B15" w:rsidRPr="001D2B15" w14:paraId="4D587AA5" w14:textId="77777777" w:rsidTr="008B4ED5">
        <w:trPr>
          <w:trHeight w:val="340"/>
        </w:trPr>
        <w:tc>
          <w:tcPr>
            <w:tcW w:w="1924" w:type="pct"/>
            <w:noWrap/>
          </w:tcPr>
          <w:p w14:paraId="6D9833ED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5C271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Process mass intensity index </w:t>
            </w:r>
            <m:oMath>
              <m:r>
                <w:rPr>
                  <w:rFonts w:ascii="Cambria Math" w:eastAsia="Times New Roman" w:hAnsi="Cambria Math" w:cs="Times New Roman"/>
                  <w:sz w:val="20"/>
                  <w:szCs w:val="20"/>
                  <w:lang w:val="en-US" w:eastAsia="es-CO"/>
                </w:rPr>
                <m:t>(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0"/>
                  <w:szCs w:val="20"/>
                  <w:lang w:val="en-US" w:eastAsia="es-CO"/>
                </w:rPr>
                <m:t>PMI)</m:t>
              </m:r>
            </m:oMath>
          </w:p>
          <w:p w14:paraId="030CEED5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</w:p>
          <w:p w14:paraId="22330BDE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m:oMathPara>
              <m:oMath>
                <m:r>
                  <m:rPr>
                    <m:nor/>
                  </m:r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en-US" w:eastAsia="es-CO"/>
                  </w:rPr>
                  <m:t>PMI =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0"/>
                    <w:szCs w:val="20"/>
                    <w:lang w:val="en-US" w:eastAsia="es-CO"/>
                  </w:rPr>
                  <m:t xml:space="preserve"> 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i=1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N</m:t>
                        </m: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sSubSupPr>
                          <m:e>
                            <m:acc>
                              <m:accPr>
                                <m:chr m:val="̇"/>
                                <m:ctrl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</m:ctrlPr>
                              </m:acc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  <m:t>m</m:t>
                                </m:r>
                              </m:e>
                            </m:acc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i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in</m:t>
                            </m:r>
                          </m:sup>
                        </m:sSubSup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sSubPr>
                          <m:e>
                            <m:acc>
                              <m:accPr>
                                <m:chr m:val="̇"/>
                                <m:ctrl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</m:ctrlPr>
                              </m:accPr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  <m:t>m</m:t>
                                </m:r>
                              </m:e>
                            </m:acc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s-CO"/>
                              </w:rPr>
                              <m:t xml:space="preserve">Product, </m:t>
                            </m:r>
                            <w:proofErr w:type="spellStart"/>
                            <m:r>
                              <m:rPr>
                                <m:nor/>
                              </m:r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i</m:t>
                            </m:r>
                            <w:proofErr w:type="spellEnd"/>
                          </m:sub>
                        </m:sSub>
                      </m:e>
                    </m:nary>
                  </m:den>
                </m:f>
              </m:oMath>
            </m:oMathPara>
          </w:p>
        </w:tc>
        <w:tc>
          <w:tcPr>
            <w:tcW w:w="3076" w:type="pct"/>
          </w:tcPr>
          <w:p w14:paraId="1B5AF6C1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C27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Renewability material index 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  <w:lang w:val="en-US"/>
                </w:rPr>
                <m:t>(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sz w:val="20"/>
                      <w:szCs w:val="20"/>
                      <w:lang w:val="en-US" w:eastAsia="es-CO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0"/>
                      <w:szCs w:val="20"/>
                      <w:lang w:val="en-US" w:eastAsia="es-CO"/>
                    </w:rPr>
                    <m:t>RM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0"/>
                      <w:szCs w:val="20"/>
                      <w:lang w:val="en-US" w:eastAsia="es-CO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 w:cs="Times New Roman"/>
                  <w:sz w:val="20"/>
                  <w:szCs w:val="20"/>
                  <w:lang w:val="en-US" w:eastAsia="es-CO"/>
                </w:rPr>
                <m:t>)</m:t>
              </m:r>
            </m:oMath>
          </w:p>
          <w:p w14:paraId="0BB90FF3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5A59BD7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  <m:t>RM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  <m:t>I</m:t>
                    </m:r>
                  </m:sub>
                </m:sSub>
                <m:r>
                  <m:rPr>
                    <m:nor/>
                  </m:r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en-US" w:eastAsia="es-CO"/>
                  </w:rPr>
                  <m:t xml:space="preserve"> = 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i=1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sSubPr>
                          <m:e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sz w:val="20"/>
                                        <w:szCs w:val="20"/>
                                        <w:lang w:val="en-US" w:eastAsia="es-CO"/>
                                      </w:rPr>
                                    </m:ctrlPr>
                                  </m:sSubSupPr>
                                  <m:e>
                                    <m:acc>
                                      <m:accPr>
                                        <m:chr m:val="̇"/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sz w:val="20"/>
                                            <w:szCs w:val="20"/>
                                            <w:lang w:val="en-US" w:eastAsia="es-CO"/>
                                          </w:rPr>
                                        </m:ctrlPr>
                                      </m:acc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="Times New Roman"/>
                                            <w:sz w:val="20"/>
                                            <w:szCs w:val="20"/>
                                            <w:lang w:val="en-US" w:eastAsia="es-CO"/>
                                          </w:rPr>
                                          <m:t>m</m:t>
                                        </m:r>
                                      </m:e>
                                    </m:acc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sz w:val="20"/>
                                        <w:szCs w:val="20"/>
                                        <w:lang w:val="en-US" w:eastAsia="es-CO"/>
                                      </w:rPr>
                                      <m:t>i</m:t>
                                    </m:r>
                                  </m:sub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sz w:val="20"/>
                                        <w:szCs w:val="20"/>
                                        <w:lang w:val="en-US" w:eastAsia="es-CO"/>
                                      </w:rPr>
                                      <m:t>in</m:t>
                                    </m:r>
                                  </m:sup>
                                </m:sSubSup>
                              </m:e>
                            </m:d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Renewable</m:t>
                            </m:r>
                          </m:sub>
                        </m:sSub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i=1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N</m:t>
                        </m: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sSubSupPr>
                          <m:e>
                            <m:acc>
                              <m:accPr>
                                <m:chr m:val="̇"/>
                                <m:ctrl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</m:ctrlPr>
                              </m:acc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  <m:t>m</m:t>
                                </m:r>
                              </m:e>
                            </m:acc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i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in</m:t>
                            </m:r>
                          </m:sup>
                        </m:sSubSup>
                      </m:e>
                    </m:nary>
                  </m:den>
                </m:f>
              </m:oMath>
            </m:oMathPara>
          </w:p>
        </w:tc>
      </w:tr>
      <w:tr w:rsidR="001D2B15" w:rsidRPr="005C271A" w14:paraId="1EB13562" w14:textId="77777777" w:rsidTr="008B4ED5">
        <w:trPr>
          <w:trHeight w:val="340"/>
        </w:trPr>
        <w:tc>
          <w:tcPr>
            <w:tcW w:w="5000" w:type="pct"/>
            <w:gridSpan w:val="2"/>
            <w:noWrap/>
          </w:tcPr>
          <w:p w14:paraId="5665E93A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5C271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Energy indicators</w:t>
            </w:r>
          </w:p>
        </w:tc>
      </w:tr>
      <w:tr w:rsidR="001D2B15" w:rsidRPr="001D2B15" w14:paraId="3C86A21C" w14:textId="77777777" w:rsidTr="008B4ED5">
        <w:trPr>
          <w:trHeight w:val="340"/>
        </w:trPr>
        <w:tc>
          <w:tcPr>
            <w:tcW w:w="1924" w:type="pct"/>
            <w:noWrap/>
          </w:tcPr>
          <w:p w14:paraId="0F59A5E1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5C271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Specific energy consumption </w:t>
            </w:r>
            <m:oMath>
              <m:r>
                <w:rPr>
                  <w:rFonts w:ascii="Cambria Math" w:eastAsia="Times New Roman" w:hAnsi="Cambria Math" w:cs="Times New Roman"/>
                  <w:sz w:val="20"/>
                  <w:szCs w:val="20"/>
                  <w:lang w:val="en-US" w:eastAsia="es-CO"/>
                </w:rPr>
                <m:t>(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sz w:val="20"/>
                      <w:szCs w:val="20"/>
                      <w:lang w:val="en-US" w:eastAsia="es-CO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 w:eastAsia="es-CO"/>
                    </w:rPr>
                    <m:t>S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 w:eastAsia="es-CO"/>
                    </w:rPr>
                    <m:t>EC</m:t>
                  </m:r>
                </m:sub>
              </m:sSub>
              <m:r>
                <w:rPr>
                  <w:rFonts w:ascii="Cambria Math" w:eastAsia="Times New Roman" w:hAnsi="Cambria Math" w:cs="Times New Roman"/>
                  <w:sz w:val="20"/>
                  <w:szCs w:val="20"/>
                  <w:lang w:val="en-US" w:eastAsia="es-CO"/>
                </w:rPr>
                <m:t>)</m:t>
              </m:r>
            </m:oMath>
          </w:p>
          <w:p w14:paraId="7D3D61D5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</w:p>
          <w:p w14:paraId="36DF11F4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en-US" w:eastAsia="es-CO"/>
                      </w:rPr>
                      <m:t>S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  <w:lang w:val="en-US" w:eastAsia="es-CO"/>
                      </w:rPr>
                      <m:t>EC</m:t>
                    </m:r>
                  </m:sub>
                </m:sSub>
                <m:r>
                  <m:rPr>
                    <m:nor/>
                  </m:r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en-US" w:eastAsia="es-CO"/>
                  </w:rPr>
                  <m:t xml:space="preserve"> = 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Q</m:t>
                            </m:r>
                          </m:e>
                        </m:acc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total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W</m:t>
                            </m:r>
                          </m:e>
                        </m:acc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total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accPr>
                          <m:e>
                            <m:r>
                              <m:rPr>
                                <m:nor/>
                              </m:r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m</m:t>
                            </m:r>
                          </m:e>
                        </m:acc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Raw material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3076" w:type="pct"/>
          </w:tcPr>
          <w:p w14:paraId="26C094EF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5C271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Overall energy efficiency </w:t>
            </w:r>
            <m:oMath>
              <m:r>
                <w:rPr>
                  <w:rFonts w:ascii="Cambria Math" w:eastAsia="Times New Roman" w:hAnsi="Cambria Math" w:cs="Times New Roman"/>
                  <w:sz w:val="20"/>
                  <w:szCs w:val="20"/>
                  <w:lang w:val="en-US" w:eastAsia="es-CO"/>
                </w:rPr>
                <m:t>(</m:t>
              </m:r>
              <m:r>
                <m:rPr>
                  <m:nor/>
                </m:rPr>
                <w:rPr>
                  <w:rFonts w:ascii="Times New Roman" w:eastAsia="Times New Roman" w:hAnsi="Times New Roman" w:cs="Times New Roman"/>
                  <w:sz w:val="20"/>
                  <w:szCs w:val="20"/>
                  <w:lang w:val="en-US" w:eastAsia="es-CO"/>
                </w:rPr>
                <m:t>η</m:t>
              </m:r>
              <m:r>
                <w:rPr>
                  <w:rFonts w:ascii="Cambria Math" w:eastAsia="Times New Roman" w:hAnsi="Cambria Math" w:cs="Times New Roman"/>
                  <w:sz w:val="20"/>
                  <w:szCs w:val="20"/>
                  <w:lang w:val="en-US" w:eastAsia="es-CO"/>
                </w:rPr>
                <m:t>)</m:t>
              </m:r>
            </m:oMath>
          </w:p>
          <w:p w14:paraId="451E5FC1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</w:p>
          <w:p w14:paraId="394C3B2B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m:oMathPara>
              <m:oMath>
                <m:r>
                  <m:rPr>
                    <m:nor/>
                  </m:r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en-US" w:eastAsia="es-CO"/>
                  </w:rPr>
                  <m:t>η 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sSubPr>
                          <m:e>
                            <m:acc>
                              <m:accPr>
                                <m:chr m:val="̇"/>
                                <m:ctrl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</m:ctrlPr>
                              </m:accPr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  <m:t>m</m:t>
                                </m:r>
                              </m:e>
                            </m:acc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Product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×LH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product</m:t>
                            </m:r>
                          </m:sub>
                        </m:sSub>
                      </m:e>
                    </m:nary>
                  </m:num>
                  <m:den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sSubPr>
                          <m:e>
                            <m:acc>
                              <m:accPr>
                                <m:chr m:val="̇"/>
                                <m:ctrl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</m:ctrlPr>
                              </m:acc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  <m:t>m</m:t>
                                </m:r>
                              </m:e>
                            </m:acc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Raw material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×LH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raw material</m:t>
                            </m:r>
                          </m:sub>
                        </m:sSub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Q</m:t>
                            </m:r>
                          </m:e>
                        </m:acc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total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W</m:t>
                            </m:r>
                          </m:e>
                        </m:acc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total</m:t>
                        </m:r>
                      </m:sub>
                    </m:sSub>
                  </m:den>
                </m:f>
              </m:oMath>
            </m:oMathPara>
          </w:p>
        </w:tc>
      </w:tr>
      <w:tr w:rsidR="001D2B15" w:rsidRPr="001D2B15" w14:paraId="3AA43AF3" w14:textId="77777777" w:rsidTr="008B4ED5">
        <w:trPr>
          <w:trHeight w:val="340"/>
        </w:trPr>
        <w:tc>
          <w:tcPr>
            <w:tcW w:w="1924" w:type="pct"/>
            <w:noWrap/>
          </w:tcPr>
          <w:p w14:paraId="1405DC93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5C271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Resource energy efficiency </w:t>
            </w:r>
            <m:oMath>
              <m:r>
                <w:rPr>
                  <w:rFonts w:ascii="Cambria Math" w:eastAsia="Times New Roman" w:hAnsi="Cambria Math" w:cs="Times New Roman"/>
                  <w:sz w:val="20"/>
                  <w:szCs w:val="20"/>
                  <w:lang w:val="en-US" w:eastAsia="es-CO"/>
                </w:rPr>
                <m:t>(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sz w:val="20"/>
                      <w:szCs w:val="20"/>
                      <w:lang w:eastAsia="es-CO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0"/>
                      <w:szCs w:val="20"/>
                      <w:lang w:eastAsia="es-CO"/>
                    </w:rPr>
                    <m:t>η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0"/>
                      <w:szCs w:val="20"/>
                      <w:lang w:val="en-US" w:eastAsia="es-CO"/>
                    </w:rPr>
                    <m:t>E</m:t>
                  </m:r>
                </m:sub>
              </m:sSub>
              <m:r>
                <w:rPr>
                  <w:rFonts w:ascii="Cambria Math" w:eastAsia="Times New Roman" w:hAnsi="Cambria Math" w:cs="Times New Roman"/>
                  <w:sz w:val="20"/>
                  <w:szCs w:val="20"/>
                  <w:lang w:val="en-US" w:eastAsia="es-CO"/>
                </w:rPr>
                <m:t>)</m:t>
              </m:r>
            </m:oMath>
          </w:p>
          <w:p w14:paraId="3FEBA30F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</w:p>
          <w:p w14:paraId="4DDB3E01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eastAsia="es-CO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eastAsia="es-CO"/>
                      </w:rPr>
                      <m:t>η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  <m:t>E</m:t>
                    </m:r>
                  </m:sub>
                </m:sSub>
                <m:r>
                  <m:rPr>
                    <m:nor/>
                  </m:r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en-US" w:eastAsia="es-CO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sSubPr>
                          <m:e>
                            <m:acc>
                              <m:accPr>
                                <m:chr m:val="̇"/>
                                <m:ctrl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</m:ctrlPr>
                              </m:accPr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  <m:t>m</m:t>
                                </m:r>
                              </m:e>
                            </m:acc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Product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×LH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Product</m:t>
                            </m:r>
                          </m:sub>
                        </m:sSub>
                      </m:e>
                    </m:nary>
                  </m:num>
                  <m:den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sSubPr>
                          <m:e>
                            <m:acc>
                              <m:accPr>
                                <m:chr m:val="̇"/>
                                <m:ctrl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</m:ctrlPr>
                              </m:acc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  <m:t>m</m:t>
                                </m:r>
                              </m:e>
                            </m:acc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Raw material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×LH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Raw material</m:t>
                            </m:r>
                          </m:sub>
                        </m:sSub>
                      </m:e>
                    </m:d>
                  </m:den>
                </m:f>
              </m:oMath>
            </m:oMathPara>
          </w:p>
        </w:tc>
        <w:tc>
          <w:tcPr>
            <w:tcW w:w="3076" w:type="pct"/>
          </w:tcPr>
          <w:p w14:paraId="6EE6981C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es-CO"/>
              </w:rPr>
            </w:pPr>
            <w:r w:rsidRPr="005C271A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es-CO"/>
              </w:rPr>
              <w:t xml:space="preserve">Self-generation index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  <w:lang w:val="en-US" w:eastAsia="es-CO"/>
                </w:rPr>
                <m:t>(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0"/>
                  <w:szCs w:val="20"/>
                  <w:lang w:val="en-US" w:eastAsia="es-CO"/>
                </w:rPr>
                <m:t>SGI)</m:t>
              </m:r>
            </m:oMath>
          </w:p>
          <w:p w14:paraId="1F664BA8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</w:p>
          <w:p w14:paraId="32712BA6" w14:textId="77777777" w:rsidR="001D2B15" w:rsidRPr="005C271A" w:rsidRDefault="001D2B15" w:rsidP="008B4ED5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m:oMathPara>
              <m:oMath>
                <m:r>
                  <m:rPr>
                    <m:nor/>
                  </m:r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en-US" w:eastAsia="es-CO"/>
                  </w:rPr>
                  <m:t>SGI 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eastAsia="es-CO"/>
                          </w:rPr>
                        </m:ctrlPr>
                      </m:dPr>
                      <m:e>
                        <m:nary>
                          <m:naryPr>
                            <m:chr m:val="∑"/>
                            <m:limLoc m:val="undOvr"/>
                            <m:subHide m:val="1"/>
                            <m:supHide m:val="1"/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naryPr>
                          <m:sub/>
                          <m:sup/>
                          <m:e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</m:ctrlPr>
                              </m:sSubPr>
                              <m:e>
                                <m:acc>
                                  <m:accPr>
                                    <m:chr m:val="̇"/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sz w:val="20"/>
                                        <w:szCs w:val="20"/>
                                        <w:lang w:val="en-US" w:eastAsia="es-CO"/>
                                      </w:rPr>
                                    </m:ctrlPr>
                                  </m:accPr>
                                  <m:e>
                                    <m:r>
                                      <m:rPr>
                                        <m:nor/>
                                      </m:rP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val="en-US" w:eastAsia="es-CO"/>
                                      </w:rPr>
                                      <m:t>m</m:t>
                                    </m:r>
                                  </m:e>
                                </m:acc>
                              </m:e>
                              <m:sub>
                                <m:r>
                                  <m:rPr>
                                    <m:nor/>
                                  </m:rPr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  <m:t>Product</m:t>
                                </m:r>
                              </m:sub>
                            </m:s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×LH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  <m:t>V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sz w:val="20"/>
                                    <w:szCs w:val="20"/>
                                    <w:lang w:val="en-US" w:eastAsia="es-CO"/>
                                  </w:rPr>
                                  <m:t>Product</m:t>
                                </m:r>
                              </m:sub>
                            </m:sSub>
                          </m:e>
                        </m:nary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  <m:t>×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en-US" w:eastAsia="es-CO"/>
                          </w:rPr>
                          <m:t>η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en-US" w:eastAsia="es-CO"/>
                          </w:rPr>
                          <m:t>Conversion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Q</m:t>
                            </m:r>
                          </m:e>
                        </m:acc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total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0"/>
                        <w:szCs w:val="20"/>
                        <w:lang w:val="en-US" w:eastAsia="es-CO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</m:ctrlPr>
                      </m:sSubPr>
                      <m:e>
                        <m:acc>
                          <m:accPr>
                            <m:chr m:val="̇"/>
                            <m:ctrl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sz w:val="20"/>
                                <w:szCs w:val="20"/>
                                <w:lang w:val="en-US" w:eastAsia="es-CO"/>
                              </w:rPr>
                              <m:t>W</m:t>
                            </m:r>
                          </m:e>
                        </m:acc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  <w:lang w:val="en-US" w:eastAsia="es-CO"/>
                          </w:rPr>
                          <m:t>total</m:t>
                        </m:r>
                      </m:sub>
                    </m:sSub>
                  </m:den>
                </m:f>
              </m:oMath>
            </m:oMathPara>
          </w:p>
        </w:tc>
      </w:tr>
      <w:bookmarkEnd w:id="0"/>
    </w:tbl>
    <w:p w14:paraId="457C057D" w14:textId="77777777" w:rsidR="001D2B15" w:rsidRPr="00BB11E4" w:rsidRDefault="001D2B15" w:rsidP="001D2B1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</w:p>
    <w:p w14:paraId="4123475B" w14:textId="77777777" w:rsidR="001D2B15" w:rsidRPr="001D2B15" w:rsidRDefault="001D2B15">
      <w:pPr>
        <w:rPr>
          <w:lang w:val="en-US"/>
        </w:rPr>
      </w:pPr>
    </w:p>
    <w:sectPr w:rsidR="001D2B15" w:rsidRPr="001D2B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QwMDC1NDe1MDAzNTZS0lEKTi0uzszPAykwrAUAJF7jZSwAAAA="/>
  </w:docVars>
  <w:rsids>
    <w:rsidRoot w:val="001D2B15"/>
    <w:rsid w:val="001D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9574B1F"/>
  <w15:chartTrackingRefBased/>
  <w15:docId w15:val="{91517B59-A43C-40D7-9079-4DE4D9169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2B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D2B1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D2B15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2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cardonaal@unal.edu.co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JhOnNy PoVeDa</dc:creator>
  <cp:keywords/>
  <dc:description/>
  <cp:lastModifiedBy>JhOnNy PoVeDa</cp:lastModifiedBy>
  <cp:revision>1</cp:revision>
  <dcterms:created xsi:type="dcterms:W3CDTF">2022-06-06T14:49:00Z</dcterms:created>
  <dcterms:modified xsi:type="dcterms:W3CDTF">2022-06-06T14:57:00Z</dcterms:modified>
</cp:coreProperties>
</file>