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cs="Times New Roman"/>
          <w:b/>
          <w:bCs/>
          <w:sz w:val="32"/>
          <w:szCs w:val="32"/>
        </w:rPr>
      </w:pPr>
      <w:bookmarkStart w:id="0" w:name="_GoBack"/>
      <w:bookmarkEnd w:id="0"/>
      <w:r>
        <w:rPr>
          <w:rFonts w:ascii="Times New Roman" w:hAnsi="Times New Roman" w:cs="Times New Roman"/>
          <w:b/>
          <w:bCs/>
          <w:sz w:val="32"/>
          <w:szCs w:val="32"/>
        </w:rPr>
        <w:t>Supplementary Material</w:t>
      </w:r>
    </w:p>
    <w:p>
      <w:pPr>
        <w:rPr>
          <w:rFonts w:ascii="Times New Roman" w:hAnsi="Times New Roman" w:eastAsia="等线" w:cs="Times New Roman"/>
          <w:color w:val="333333"/>
          <w:sz w:val="24"/>
          <w:szCs w:val="24"/>
          <w:shd w:val="clear" w:color="auto" w:fill="FFFFFF"/>
        </w:rPr>
      </w:pPr>
      <w:r>
        <w:rPr>
          <w:rFonts w:ascii="Times New Roman" w:hAnsi="Times New Roman" w:cs="Times New Roman"/>
          <w:color w:val="333333"/>
          <w:sz w:val="24"/>
          <w:szCs w:val="24"/>
          <w:shd w:val="clear" w:color="auto" w:fill="FFFFFF"/>
        </w:rPr>
        <w:t>Supplementary Figure 1. PPI network analysis of IRGs in the STRING database.</w:t>
      </w:r>
      <w:r>
        <w:rPr>
          <w:rFonts w:ascii="Times New Roman" w:hAnsi="Times New Roman" w:cs="Times New Roman"/>
          <w:sz w:val="24"/>
          <w:szCs w:val="24"/>
        </w:rPr>
        <w:t xml:space="preserve"> </w:t>
      </w:r>
    </w:p>
    <w:p>
      <w:pPr>
        <w:rPr>
          <w:rFonts w:ascii="Times New Roman" w:hAnsi="Times New Roman" w:cs="Times New Roman"/>
          <w:color w:val="333333"/>
          <w:sz w:val="24"/>
          <w:szCs w:val="24"/>
          <w:shd w:val="clear" w:color="auto" w:fill="FFFFFF"/>
        </w:rPr>
      </w:pPr>
      <w:r>
        <w:rPr>
          <w:rFonts w:ascii="Times New Roman" w:hAnsi="Times New Roman" w:cs="Times New Roman"/>
          <w:color w:val="333333"/>
          <w:sz w:val="24"/>
          <w:szCs w:val="24"/>
          <w:shd w:val="clear" w:color="auto" w:fill="FFFFFF"/>
        </w:rPr>
        <w:t>Supplementary Figure 2. The expression level and predictive value of potential miRNAs in HNSCC are being screened and validated. (A–E) High levels of hsa-miR-494-3p, hsa-miR-143-3p, and hsa-miR-495-3p were linked to a poor prognosis, while low levels of hsa-miR-182-5p and hsa-miR-148-3p were linked to prolonged survival.</w:t>
      </w:r>
    </w:p>
    <w:p>
      <w:pPr>
        <w:rPr>
          <w:rFonts w:ascii="Times New Roman" w:hAnsi="Times New Roman" w:cs="Times New Roman"/>
          <w:color w:val="333333"/>
          <w:sz w:val="24"/>
          <w:szCs w:val="24"/>
          <w:shd w:val="clear" w:color="auto" w:fill="FFFFFF"/>
        </w:rPr>
      </w:pPr>
      <w:r>
        <w:rPr>
          <w:rFonts w:ascii="Times New Roman" w:hAnsi="Times New Roman" w:cs="Times New Roman"/>
          <w:color w:val="333333"/>
          <w:sz w:val="24"/>
          <w:szCs w:val="24"/>
          <w:shd w:val="clear" w:color="auto" w:fill="FFFFFF"/>
        </w:rPr>
        <w:t>Supplementary Figure 3. The expression level and predictive value of potential miRNAs in HNSCC are being screened and validated. (A–L) High expression of HOTAIRM1, LINC00261, MEG8, and LINC00052 were related to a bleak prognosis, whereas low expression of C1RL-AS1, LINC00852, PSMA3-AS1, LINC01089, TRG-AS1, ZNFS71-AS1, NEAT1, and LINC01554 were associated with dismal survival.</w:t>
      </w:r>
    </w:p>
    <w:p>
      <w:pPr>
        <w:rPr>
          <w:rFonts w:ascii="Times New Roman" w:hAnsi="Times New Roman" w:cs="Times New Roman"/>
          <w:color w:val="333333"/>
          <w:sz w:val="24"/>
          <w:szCs w:val="24"/>
          <w:shd w:val="clear" w:color="auto" w:fill="FFFFFF"/>
        </w:rPr>
      </w:pPr>
      <w:r>
        <w:rPr>
          <w:rFonts w:ascii="Times New Roman" w:hAnsi="Times New Roman" w:cs="Times New Roman"/>
          <w:color w:val="333333"/>
          <w:sz w:val="24"/>
          <w:szCs w:val="24"/>
          <w:shd w:val="clear" w:color="auto" w:fill="FFFFFF"/>
        </w:rPr>
        <w:t>Supplementary Table 1. Different expression genes (DEGs) and common immune-related genes (IRGs) in our analysis.</w:t>
      </w:r>
    </w:p>
    <w:p>
      <w:pPr>
        <w:rPr>
          <w:rFonts w:ascii="Times New Roman" w:hAnsi="Times New Roman" w:cs="Times New Roman"/>
          <w:color w:val="333333"/>
          <w:sz w:val="24"/>
          <w:szCs w:val="24"/>
          <w:shd w:val="clear" w:color="auto" w:fill="FFFFFF"/>
        </w:rPr>
      </w:pPr>
      <w:r>
        <w:rPr>
          <w:rFonts w:ascii="Times New Roman" w:hAnsi="Times New Roman" w:cs="Times New Roman"/>
          <w:color w:val="333333"/>
          <w:sz w:val="24"/>
          <w:szCs w:val="24"/>
          <w:shd w:val="clear" w:color="auto" w:fill="FFFFFF"/>
        </w:rPr>
        <w:t>Supplementary Table 2. Different expression miRNAs (DEMs) in our analysis.</w:t>
      </w:r>
    </w:p>
    <w:p>
      <w:pPr>
        <w:rPr>
          <w:rFonts w:ascii="Times New Roman" w:hAnsi="Times New Roman" w:cs="Times New Roman"/>
          <w:color w:val="333333"/>
          <w:sz w:val="24"/>
          <w:szCs w:val="24"/>
          <w:shd w:val="clear" w:color="auto" w:fill="FFFFFF"/>
        </w:rPr>
      </w:pPr>
      <w:r>
        <w:rPr>
          <w:rFonts w:ascii="Times New Roman" w:hAnsi="Times New Roman" w:cs="Times New Roman"/>
          <w:color w:val="333333"/>
          <w:sz w:val="24"/>
          <w:szCs w:val="24"/>
          <w:shd w:val="clear" w:color="auto" w:fill="FFFFFF"/>
        </w:rPr>
        <w:t>Supplementary Table 3. Different expression lncRNAs (DELs) in our analysis.</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Q0MmE0ZWU5OWYwODViOTQwODU1NDYwZWI2MGJhZjAifQ=="/>
  </w:docVars>
  <w:rsids>
    <w:rsidRoot w:val="0AEA4684"/>
    <w:rsid w:val="0AEA46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2022-06-09T07:49:00Z</dcterms:created>
  <dc:creator>头一</dc:creator>
  <cp:lastModifiedBy>头一</cp:lastModifiedBy>
  <dcterms:modified xsi:type="dcterms:W3CDTF">2022-06-09T07:49:57Z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3B47B4A2F9334074B400710DFB7F3914</vt:lpwstr>
  </property>
</Properties>
</file>