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1"/>
        <w:jc w:val="both"/>
        <w:rPr>
          <w:rFonts w:ascii="Times New Roman" w:hAnsi="Times New Roman" w:eastAsia="Times New Roman" w:cs="Times New Roman"/>
          <w:sz w:val="24"/>
          <w:szCs w:val="24"/>
        </w:rPr>
      </w:pPr>
      <w:r>
        <w:rPr>
          <w:rFonts w:eastAsia="Times New Roman" w:cs="Times New Roman" w:ascii="Times New Roman" w:hAnsi="Times New Roman"/>
          <w:b/>
          <w:sz w:val="24"/>
          <w:szCs w:val="24"/>
        </w:rPr>
        <w:t>Supplementary table 1: GISAID accession numbers to all 17 samples with C21772T sequenced in Vigo, Spain.</w:t>
      </w:r>
      <w:r>
        <w:rPr>
          <w:rFonts w:eastAsia="Times New Roman" w:cs="Times New Roman" w:ascii="Times New Roman" w:hAnsi="Times New Roman"/>
          <w:sz w:val="24"/>
          <w:szCs w:val="24"/>
        </w:rPr>
        <w:t xml:space="preserve"> All samples in the list have been uploaded by our facility.</w:t>
      </w:r>
    </w:p>
    <w:p>
      <w:pPr>
        <w:pStyle w:val="Normal1"/>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tbl>
      <w:tblPr>
        <w:tblStyle w:val="Table1"/>
        <w:tblW w:w="3855" w:type="dxa"/>
        <w:jc w:val="center"/>
        <w:tblInd w:w="0" w:type="dxa"/>
        <w:tblLayout w:type="fixed"/>
        <w:tblCellMar>
          <w:top w:w="100" w:type="dxa"/>
          <w:left w:w="100" w:type="dxa"/>
          <w:bottom w:w="100" w:type="dxa"/>
          <w:right w:w="100" w:type="dxa"/>
        </w:tblCellMar>
        <w:tblLook w:val="0600"/>
      </w:tblPr>
      <w:tblGrid>
        <w:gridCol w:w="3855"/>
      </w:tblGrid>
      <w:tr>
        <w:trPr/>
        <w:tc>
          <w:tcPr>
            <w:tcW w:w="3855"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GISAID accession ID</w:t>
            </w:r>
          </w:p>
        </w:tc>
      </w:tr>
      <w:tr>
        <w:trPr/>
        <w:tc>
          <w:tcPr>
            <w:tcW w:w="3855"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EPI_ISL_11247810</w:t>
            </w:r>
          </w:p>
        </w:tc>
      </w:tr>
      <w:tr>
        <w:trPr/>
        <w:tc>
          <w:tcPr>
            <w:tcW w:w="3855"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EPI_ISL_11247815</w:t>
            </w:r>
          </w:p>
        </w:tc>
      </w:tr>
      <w:tr>
        <w:trPr/>
        <w:tc>
          <w:tcPr>
            <w:tcW w:w="3855"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EPI_ISL_11220353</w:t>
            </w:r>
          </w:p>
        </w:tc>
      </w:tr>
      <w:tr>
        <w:trPr/>
        <w:tc>
          <w:tcPr>
            <w:tcW w:w="3855"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EPI_ISL_11247854</w:t>
            </w:r>
          </w:p>
        </w:tc>
      </w:tr>
      <w:tr>
        <w:trPr/>
        <w:tc>
          <w:tcPr>
            <w:tcW w:w="3855"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EPI_ISL_11247888</w:t>
            </w:r>
          </w:p>
        </w:tc>
      </w:tr>
      <w:tr>
        <w:trPr/>
        <w:tc>
          <w:tcPr>
            <w:tcW w:w="3855"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EPI_ISL_12057144</w:t>
            </w:r>
          </w:p>
        </w:tc>
      </w:tr>
      <w:tr>
        <w:trPr/>
        <w:tc>
          <w:tcPr>
            <w:tcW w:w="3855"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EPI_ISL_12130350</w:t>
            </w:r>
          </w:p>
        </w:tc>
      </w:tr>
      <w:tr>
        <w:trPr/>
        <w:tc>
          <w:tcPr>
            <w:tcW w:w="3855"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EPI_ISL_11247973</w:t>
            </w:r>
          </w:p>
        </w:tc>
      </w:tr>
      <w:tr>
        <w:trPr/>
        <w:tc>
          <w:tcPr>
            <w:tcW w:w="3855"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EPI_ISL_11248021</w:t>
            </w:r>
          </w:p>
        </w:tc>
      </w:tr>
      <w:tr>
        <w:trPr/>
        <w:tc>
          <w:tcPr>
            <w:tcW w:w="3855"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EPI_ISL_10967458</w:t>
            </w:r>
          </w:p>
        </w:tc>
      </w:tr>
      <w:tr>
        <w:trPr/>
        <w:tc>
          <w:tcPr>
            <w:tcW w:w="3855"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EPI_ISL_10927108</w:t>
            </w:r>
          </w:p>
        </w:tc>
      </w:tr>
      <w:tr>
        <w:trPr/>
        <w:tc>
          <w:tcPr>
            <w:tcW w:w="3855"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EPI_ISL_11247980</w:t>
            </w:r>
          </w:p>
        </w:tc>
      </w:tr>
      <w:tr>
        <w:trPr/>
        <w:tc>
          <w:tcPr>
            <w:tcW w:w="3855"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EPI_ISL_10927129</w:t>
            </w:r>
          </w:p>
        </w:tc>
      </w:tr>
      <w:tr>
        <w:trPr/>
        <w:tc>
          <w:tcPr>
            <w:tcW w:w="3855"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EPI_ISL_12130307</w:t>
            </w:r>
          </w:p>
        </w:tc>
      </w:tr>
      <w:tr>
        <w:trPr/>
        <w:tc>
          <w:tcPr>
            <w:tcW w:w="3855"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EPI_ISL_10672192</w:t>
            </w:r>
          </w:p>
        </w:tc>
      </w:tr>
      <w:tr>
        <w:trPr/>
        <w:tc>
          <w:tcPr>
            <w:tcW w:w="3855"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EPI_ISL_10672181</w:t>
            </w:r>
          </w:p>
        </w:tc>
      </w:tr>
      <w:tr>
        <w:trPr/>
        <w:tc>
          <w:tcPr>
            <w:tcW w:w="3855"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EPI_ISL_10252558</w:t>
            </w:r>
          </w:p>
        </w:tc>
      </w:tr>
    </w:tbl>
    <w:p>
      <w:pPr>
        <w:pStyle w:val="Normal1"/>
        <w:spacing w:lineRule="auto" w:line="276" w:before="0" w:after="160"/>
        <w:jc w:val="both"/>
        <w:rPr>
          <w:rFonts w:ascii="Times New Roman" w:hAnsi="Times New Roman" w:eastAsia="Times New Roman" w:cs="Times New Roman"/>
          <w:sz w:val="24"/>
          <w:szCs w:val="24"/>
        </w:rPr>
      </w:pPr>
      <w:r>
        <w:br w:type="page"/>
      </w:r>
      <w:r>
        <w:rPr>
          <w:rFonts w:eastAsia="Times New Roman" w:cs="Times New Roman" w:ascii="Times New Roman" w:hAnsi="Times New Roman"/>
          <w:b/>
          <w:sz w:val="24"/>
          <w:szCs w:val="24"/>
        </w:rPr>
        <w:t>Supplementary table 2:</w:t>
      </w:r>
      <w:r>
        <w:rPr>
          <w:rFonts w:eastAsia="Times New Roman" w:cs="Times New Roman" w:ascii="Times New Roman" w:hAnsi="Times New Roman"/>
          <w:sz w:val="24"/>
          <w:szCs w:val="24"/>
        </w:rPr>
        <w:t xml:space="preserve"> </w:t>
      </w:r>
      <w:r>
        <w:rPr>
          <w:rFonts w:eastAsia="Times New Roman" w:cs="Times New Roman" w:ascii="Times New Roman" w:hAnsi="Times New Roman"/>
          <w:b/>
          <w:sz w:val="24"/>
          <w:szCs w:val="24"/>
        </w:rPr>
        <w:t xml:space="preserve">Misalignment of BA.1 + C21772T against reference Wuhan-Hu-1 causes databases to register C21772T as A21776T. </w:t>
      </w:r>
      <w:r>
        <w:rPr>
          <w:rFonts w:eastAsia="Times New Roman" w:cs="Times New Roman" w:ascii="Times New Roman" w:hAnsi="Times New Roman"/>
          <w:sz w:val="24"/>
          <w:szCs w:val="24"/>
        </w:rPr>
        <w:t>While both alignments are possible, the sequence with A21776T causes a displacement of 69/70del compared to the parental lineage BA.1 (from 21765-21760 to 21767-21762). Mutation C21772T (or A21776T) is highlighted.</w:t>
      </w:r>
    </w:p>
    <w:tbl>
      <w:tblPr>
        <w:tblStyle w:val="Table2"/>
        <w:tblW w:w="9029" w:type="dxa"/>
        <w:jc w:val="left"/>
        <w:tblInd w:w="0" w:type="dxa"/>
        <w:tblLayout w:type="fixed"/>
        <w:tblCellMar>
          <w:top w:w="100" w:type="dxa"/>
          <w:left w:w="100" w:type="dxa"/>
          <w:bottom w:w="100" w:type="dxa"/>
          <w:right w:w="100" w:type="dxa"/>
        </w:tblCellMar>
        <w:tblLook w:val="0600"/>
      </w:tblPr>
      <w:tblGrid>
        <w:gridCol w:w="4514"/>
        <w:gridCol w:w="4514"/>
      </w:tblGrid>
      <w:tr>
        <w:trPr>
          <w:trHeight w:val="490" w:hRule="atLeast"/>
        </w:trPr>
        <w:tc>
          <w:tcPr>
            <w:tcW w:w="4514" w:type="dxa"/>
            <w:tcBorders>
              <w:top w:val="single" w:sz="8" w:space="0" w:color="000000"/>
              <w:left w:val="single" w:sz="8" w:space="0" w:color="000000"/>
              <w:bottom w:val="single" w:sz="8" w:space="0" w:color="000000"/>
              <w:right w:val="single" w:sz="8" w:space="0" w:color="000000"/>
            </w:tcBorders>
            <w:shd w:fill="auto" w:val="clear"/>
            <w:vAlign w:val="center"/>
          </w:tcPr>
          <w:p>
            <w:pPr>
              <w:pStyle w:val="Normal1"/>
              <w:widowControl w:val="false"/>
              <w:spacing w:lineRule="auto" w:line="240"/>
              <w:jc w:val="center"/>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Variant</w:t>
            </w:r>
          </w:p>
        </w:tc>
        <w:tc>
          <w:tcPr>
            <w:tcW w:w="4514" w:type="dxa"/>
            <w:tcBorders>
              <w:top w:val="single" w:sz="8" w:space="0" w:color="000000"/>
              <w:left w:val="single" w:sz="8" w:space="0" w:color="000000"/>
              <w:bottom w:val="single" w:sz="8" w:space="0" w:color="000000"/>
              <w:right w:val="single" w:sz="8" w:space="0" w:color="000000"/>
            </w:tcBorders>
            <w:shd w:fill="auto" w:val="clear"/>
            <w:vAlign w:val="center"/>
          </w:tcPr>
          <w:p>
            <w:pPr>
              <w:pStyle w:val="Normal1"/>
              <w:widowControl w:val="false"/>
              <w:spacing w:lineRule="auto" w:line="240"/>
              <w:jc w:val="center"/>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 xml:space="preserve">Nucleotide sequence (21761-21776) </w:t>
            </w:r>
          </w:p>
        </w:tc>
      </w:tr>
      <w:tr>
        <w:trPr>
          <w:trHeight w:val="490" w:hRule="atLeast"/>
        </w:trPr>
        <w:tc>
          <w:tcPr>
            <w:tcW w:w="4514"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Wuhan-Hu-1</w:t>
            </w:r>
          </w:p>
        </w:tc>
        <w:tc>
          <w:tcPr>
            <w:tcW w:w="4514" w:type="dxa"/>
            <w:tcBorders>
              <w:top w:val="single" w:sz="8" w:space="0" w:color="000000"/>
              <w:left w:val="single" w:sz="8" w:space="0" w:color="000000"/>
              <w:bottom w:val="single" w:sz="8" w:space="0" w:color="000000"/>
              <w:right w:val="single" w:sz="8" w:space="0" w:color="000000"/>
            </w:tcBorders>
            <w:shd w:fill="auto" w:val="clear"/>
            <w:vAlign w:val="cente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GCTATACATGTCTCT</w:t>
            </w:r>
          </w:p>
        </w:tc>
      </w:tr>
      <w:tr>
        <w:trPr/>
        <w:tc>
          <w:tcPr>
            <w:tcW w:w="4514"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BA.1</w:t>
            </w:r>
          </w:p>
        </w:tc>
        <w:tc>
          <w:tcPr>
            <w:tcW w:w="4514" w:type="dxa"/>
            <w:tcBorders>
              <w:top w:val="single" w:sz="8" w:space="0" w:color="000000"/>
              <w:left w:val="single" w:sz="8" w:space="0" w:color="000000"/>
              <w:bottom w:val="single" w:sz="8" w:space="0" w:color="000000"/>
              <w:right w:val="single" w:sz="8" w:space="0" w:color="000000"/>
            </w:tcBorders>
            <w:shd w:fill="auto" w:val="clear"/>
            <w:vAlign w:val="cente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GTTA‒‒‒‒‒‒TCTCT</w:t>
            </w:r>
          </w:p>
        </w:tc>
      </w:tr>
      <w:tr>
        <w:trPr/>
        <w:tc>
          <w:tcPr>
            <w:tcW w:w="4514"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BA.1 + C21772T</w:t>
            </w:r>
          </w:p>
        </w:tc>
        <w:tc>
          <w:tcPr>
            <w:tcW w:w="4514" w:type="dxa"/>
            <w:tcBorders>
              <w:top w:val="single" w:sz="8" w:space="0" w:color="000000"/>
              <w:left w:val="single" w:sz="8" w:space="0" w:color="000000"/>
              <w:bottom w:val="single" w:sz="8" w:space="0" w:color="000000"/>
              <w:right w:val="single" w:sz="8" w:space="0" w:color="000000"/>
            </w:tcBorders>
            <w:shd w:fill="auto" w:val="clear"/>
            <w:vAlign w:val="cente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GTTA‒‒‒‒‒‒T</w:t>
            </w:r>
            <w:r>
              <w:rPr>
                <w:rFonts w:eastAsia="Times New Roman" w:cs="Times New Roman" w:ascii="Times New Roman" w:hAnsi="Times New Roman"/>
                <w:b/>
                <w:sz w:val="24"/>
                <w:szCs w:val="24"/>
              </w:rPr>
              <w:t>T</w:t>
            </w:r>
            <w:r>
              <w:rPr>
                <w:rFonts w:eastAsia="Times New Roman" w:cs="Times New Roman" w:ascii="Times New Roman" w:hAnsi="Times New Roman"/>
                <w:sz w:val="24"/>
                <w:szCs w:val="24"/>
              </w:rPr>
              <w:t>TCT</w:t>
            </w:r>
          </w:p>
        </w:tc>
      </w:tr>
      <w:tr>
        <w:trPr/>
        <w:tc>
          <w:tcPr>
            <w:tcW w:w="4514"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BA.1 + A21766T (misalignment)</w:t>
            </w:r>
          </w:p>
        </w:tc>
        <w:tc>
          <w:tcPr>
            <w:tcW w:w="4514"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GTTAT</w:t>
            </w:r>
            <w:r>
              <w:rPr>
                <w:rFonts w:eastAsia="Times New Roman" w:cs="Times New Roman" w:ascii="Times New Roman" w:hAnsi="Times New Roman"/>
                <w:b/>
                <w:sz w:val="24"/>
                <w:szCs w:val="24"/>
              </w:rPr>
              <w:t>T</w:t>
            </w:r>
            <w:r>
              <w:rPr>
                <w:rFonts w:eastAsia="Times New Roman" w:cs="Times New Roman" w:ascii="Times New Roman" w:hAnsi="Times New Roman"/>
                <w:sz w:val="24"/>
                <w:szCs w:val="24"/>
              </w:rPr>
              <w:t>‒‒‒‒‒‒TCT</w:t>
            </w:r>
          </w:p>
        </w:tc>
      </w:tr>
    </w:tbl>
    <w:p>
      <w:pPr>
        <w:pStyle w:val="Normal1"/>
        <w:jc w:val="both"/>
        <w:rPr>
          <w:rFonts w:ascii="Times New Roman" w:hAnsi="Times New Roman" w:eastAsia="Times New Roman" w:cs="Times New Roman"/>
        </w:rPr>
      </w:pPr>
      <w:r>
        <w:rPr>
          <w:rFonts w:eastAsia="Times New Roman" w:cs="Times New Roman" w:ascii="Times New Roman" w:hAnsi="Times New Roman"/>
        </w:rPr>
      </w:r>
    </w:p>
    <w:p>
      <w:pPr>
        <w:pStyle w:val="Normal1"/>
        <w:spacing w:lineRule="auto" w:line="276" w:before="0" w:after="160"/>
        <w:jc w:val="both"/>
        <w:rPr>
          <w:rFonts w:ascii="Times New Roman" w:hAnsi="Times New Roman" w:eastAsia="Times New Roman" w:cs="Times New Roman"/>
          <w:b/>
          <w:b/>
          <w:color w:val="FF0000"/>
        </w:rPr>
      </w:pPr>
      <w:r>
        <w:rPr>
          <w:rFonts w:eastAsia="Times New Roman" w:cs="Times New Roman" w:ascii="Times New Roman" w:hAnsi="Times New Roman"/>
          <w:b/>
          <w:color w:val="FF0000"/>
        </w:rPr>
      </w:r>
      <w:r>
        <w:br w:type="page"/>
      </w:r>
    </w:p>
    <w:p>
      <w:pPr>
        <w:pStyle w:val="Normal1"/>
        <w:spacing w:lineRule="auto" w:line="276" w:before="0" w:after="160"/>
        <w:jc w:val="both"/>
        <w:rPr>
          <w:rFonts w:ascii="Times New Roman" w:hAnsi="Times New Roman" w:eastAsia="Times New Roman" w:cs="Times New Roman"/>
          <w:color w:val="6FA8DC"/>
          <w:sz w:val="24"/>
          <w:szCs w:val="24"/>
        </w:rPr>
      </w:pPr>
      <w:r>
        <w:rPr>
          <w:rFonts w:eastAsia="Times New Roman" w:cs="Times New Roman" w:ascii="Times New Roman" w:hAnsi="Times New Roman"/>
          <w:b/>
          <w:sz w:val="24"/>
          <w:szCs w:val="24"/>
        </w:rPr>
        <w:t>Supplementary table 3. Interpretation algorithm for Omicron variants identification by variant specific PCR Hain’s Fluorotype SARS-CoV-2 varID Q.</w:t>
      </w:r>
      <w:r>
        <w:rPr>
          <w:rFonts w:eastAsia="Times New Roman" w:cs="Times New Roman" w:ascii="Times New Roman" w:hAnsi="Times New Roman"/>
          <w:sz w:val="24"/>
          <w:szCs w:val="24"/>
        </w:rPr>
        <w:t xml:space="preserve"> Summary of SARS-CoV-2 spike aminoacids pattern for the identification of Omicron variants using Hain’s Fluorotype SARS-CoV-2 varID Q ver 1.0 (Hain Lifescience GmbH, Nehren, Germany). RdRp is used as internal control of the PCR. This reagent is not able to detect the N501Y change in the case of the Omicron variants.</w:t>
      </w:r>
    </w:p>
    <w:tbl>
      <w:tblPr>
        <w:tblStyle w:val="Table3"/>
        <w:tblW w:w="9029" w:type="dxa"/>
        <w:jc w:val="center"/>
        <w:tblInd w:w="0" w:type="dxa"/>
        <w:tblLayout w:type="fixed"/>
        <w:tblCellMar>
          <w:top w:w="100" w:type="dxa"/>
          <w:left w:w="100" w:type="dxa"/>
          <w:bottom w:w="100" w:type="dxa"/>
          <w:right w:w="100" w:type="dxa"/>
        </w:tblCellMar>
        <w:tblLook w:val="0600"/>
      </w:tblPr>
      <w:tblGrid>
        <w:gridCol w:w="1229"/>
        <w:gridCol w:w="1126"/>
        <w:gridCol w:w="945"/>
        <w:gridCol w:w="1200"/>
        <w:gridCol w:w="1200"/>
        <w:gridCol w:w="1050"/>
        <w:gridCol w:w="1139"/>
        <w:gridCol w:w="1139"/>
      </w:tblGrid>
      <w:tr>
        <w:trPr>
          <w:trHeight w:val="420" w:hRule="atLeast"/>
        </w:trPr>
        <w:tc>
          <w:tcPr>
            <w:tcW w:w="1229" w:type="dxa"/>
            <w:tcBorders>
              <w:top w:val="single" w:sz="8" w:space="0" w:color="FFFFFF"/>
              <w:left w:val="single" w:sz="8" w:space="0" w:color="FFFFFF"/>
              <w:bottom w:val="single" w:sz="8" w:space="0" w:color="FFFFFF"/>
              <w:right w:val="single" w:sz="8" w:space="0" w:color="333333"/>
            </w:tcBorders>
            <w:shd w:fill="auto" w:val="clear"/>
            <w:vAlign w:val="center"/>
          </w:tcPr>
          <w:p>
            <w:pPr>
              <w:pStyle w:val="Normal1"/>
              <w:widowControl w:val="false"/>
              <w:spacing w:lineRule="auto" w:line="240"/>
              <w:jc w:val="center"/>
              <w:rPr>
                <w:rFonts w:ascii="Times New Roman" w:hAnsi="Times New Roman" w:eastAsia="Times New Roman" w:cs="Times New Roman"/>
                <w:color w:val="333333"/>
                <w:sz w:val="24"/>
                <w:szCs w:val="24"/>
              </w:rPr>
            </w:pPr>
            <w:r>
              <w:rPr>
                <w:rFonts w:eastAsia="Times New Roman" w:cs="Times New Roman" w:ascii="Times New Roman" w:hAnsi="Times New Roman"/>
                <w:color w:val="333333"/>
                <w:sz w:val="24"/>
                <w:szCs w:val="24"/>
              </w:rPr>
            </w:r>
          </w:p>
        </w:tc>
        <w:tc>
          <w:tcPr>
            <w:tcW w:w="7799" w:type="dxa"/>
            <w:gridSpan w:val="7"/>
            <w:tcBorders>
              <w:top w:val="single" w:sz="8" w:space="0" w:color="333333"/>
              <w:left w:val="single" w:sz="8" w:space="0" w:color="333333"/>
              <w:bottom w:val="single" w:sz="8" w:space="0" w:color="333333"/>
              <w:right w:val="single" w:sz="8" w:space="0" w:color="333333"/>
            </w:tcBorders>
            <w:shd w:fill="auto"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Fluorotype SARS-CoV-2 varID Q</w:t>
            </w:r>
          </w:p>
        </w:tc>
      </w:tr>
      <w:tr>
        <w:trPr/>
        <w:tc>
          <w:tcPr>
            <w:tcW w:w="1229" w:type="dxa"/>
            <w:tcBorders>
              <w:top w:val="single" w:sz="8" w:space="0" w:color="FFFFFF"/>
              <w:left w:val="single" w:sz="8" w:space="0" w:color="FFFFFF"/>
              <w:bottom w:val="single" w:sz="8" w:space="0" w:color="333333"/>
              <w:right w:val="single" w:sz="8" w:space="0" w:color="333333"/>
            </w:tcBorders>
            <w:shd w:fill="auto" w:val="clear"/>
            <w:vAlign w:val="center"/>
          </w:tcPr>
          <w:p>
            <w:pPr>
              <w:pStyle w:val="Normal1"/>
              <w:widowControl w:val="false"/>
              <w:spacing w:lineRule="auto" w:line="240"/>
              <w:jc w:val="center"/>
              <w:rPr>
                <w:rFonts w:ascii="Times New Roman" w:hAnsi="Times New Roman" w:eastAsia="Times New Roman" w:cs="Times New Roman"/>
                <w:color w:val="333333"/>
                <w:sz w:val="24"/>
                <w:szCs w:val="24"/>
              </w:rPr>
            </w:pPr>
            <w:r>
              <w:rPr>
                <w:rFonts w:eastAsia="Times New Roman" w:cs="Times New Roman" w:ascii="Times New Roman" w:hAnsi="Times New Roman"/>
                <w:color w:val="333333"/>
                <w:sz w:val="24"/>
                <w:szCs w:val="24"/>
              </w:rPr>
            </w:r>
          </w:p>
        </w:tc>
        <w:tc>
          <w:tcPr>
            <w:tcW w:w="1126" w:type="dxa"/>
            <w:tcBorders>
              <w:top w:val="single" w:sz="8" w:space="0" w:color="333333"/>
              <w:left w:val="single" w:sz="8" w:space="0" w:color="333333"/>
              <w:bottom w:val="single" w:sz="8" w:space="0" w:color="333333"/>
              <w:right w:val="single" w:sz="8" w:space="0" w:color="333333"/>
            </w:tcBorders>
            <w:shd w:fill="auto"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RdRp</w:t>
            </w:r>
          </w:p>
        </w:tc>
        <w:tc>
          <w:tcPr>
            <w:tcW w:w="945" w:type="dxa"/>
            <w:tcBorders>
              <w:top w:val="single" w:sz="8" w:space="0" w:color="333333"/>
              <w:left w:val="single" w:sz="8" w:space="0" w:color="333333"/>
              <w:bottom w:val="single" w:sz="8" w:space="0" w:color="000000"/>
              <w:right w:val="single" w:sz="8" w:space="0" w:color="000000"/>
            </w:tcBorders>
            <w:shd w:fill="auto"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N</w:t>
            </w:r>
          </w:p>
        </w:tc>
        <w:tc>
          <w:tcPr>
            <w:tcW w:w="1200" w:type="dxa"/>
            <w:tcBorders>
              <w:top w:val="single" w:sz="8" w:space="0" w:color="333333"/>
              <w:left w:val="single" w:sz="8" w:space="0" w:color="000000"/>
              <w:bottom w:val="single" w:sz="8" w:space="0" w:color="000000"/>
              <w:right w:val="single" w:sz="8" w:space="0" w:color="000000"/>
            </w:tcBorders>
            <w:shd w:fill="auto"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A67V 69/70del</w:t>
            </w:r>
          </w:p>
        </w:tc>
        <w:tc>
          <w:tcPr>
            <w:tcW w:w="1200" w:type="dxa"/>
            <w:tcBorders>
              <w:top w:val="single" w:sz="8" w:space="0" w:color="333333"/>
              <w:left w:val="single" w:sz="8" w:space="0" w:color="000000"/>
              <w:bottom w:val="single" w:sz="8" w:space="0" w:color="000000"/>
              <w:right w:val="single" w:sz="8" w:space="0" w:color="000000"/>
            </w:tcBorders>
            <w:shd w:fill="auto"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69/70del</w:t>
            </w:r>
          </w:p>
        </w:tc>
        <w:tc>
          <w:tcPr>
            <w:tcW w:w="1050" w:type="dxa"/>
            <w:tcBorders>
              <w:top w:val="single" w:sz="8" w:space="0" w:color="333333"/>
              <w:left w:val="single" w:sz="8" w:space="0" w:color="000000"/>
              <w:bottom w:val="single" w:sz="8" w:space="0" w:color="000000"/>
              <w:right w:val="single" w:sz="8" w:space="0" w:color="000000"/>
            </w:tcBorders>
            <w:shd w:fill="auto"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N501Y</w:t>
            </w:r>
          </w:p>
        </w:tc>
        <w:tc>
          <w:tcPr>
            <w:tcW w:w="1139" w:type="dxa"/>
            <w:tcBorders>
              <w:top w:val="single" w:sz="8" w:space="0" w:color="333333"/>
              <w:left w:val="single" w:sz="8" w:space="0" w:color="000000"/>
              <w:bottom w:val="single" w:sz="8" w:space="0" w:color="000000"/>
              <w:right w:val="single" w:sz="8" w:space="0" w:color="000000"/>
            </w:tcBorders>
            <w:shd w:fill="auto"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E484K</w:t>
            </w:r>
          </w:p>
        </w:tc>
        <w:tc>
          <w:tcPr>
            <w:tcW w:w="1139" w:type="dxa"/>
            <w:tcBorders>
              <w:top w:val="single" w:sz="8" w:space="0" w:color="333333"/>
              <w:left w:val="single" w:sz="8" w:space="0" w:color="000000"/>
              <w:bottom w:val="single" w:sz="8" w:space="0" w:color="000000"/>
              <w:right w:val="single" w:sz="8" w:space="0" w:color="000000"/>
            </w:tcBorders>
            <w:shd w:fill="auto"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D80A</w:t>
            </w:r>
          </w:p>
        </w:tc>
      </w:tr>
      <w:tr>
        <w:trPr/>
        <w:tc>
          <w:tcPr>
            <w:tcW w:w="1229" w:type="dxa"/>
            <w:tcBorders>
              <w:top w:val="single" w:sz="8" w:space="0" w:color="333333"/>
              <w:left w:val="single" w:sz="8" w:space="0" w:color="333333"/>
              <w:bottom w:val="single" w:sz="8" w:space="0" w:color="333333"/>
              <w:right w:val="single" w:sz="8" w:space="0" w:color="333333"/>
            </w:tcBorders>
            <w:shd w:fill="auto"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 xml:space="preserve">BA.1 </w:t>
            </w:r>
          </w:p>
        </w:tc>
        <w:tc>
          <w:tcPr>
            <w:tcW w:w="1126" w:type="dxa"/>
            <w:tcBorders>
              <w:top w:val="single" w:sz="8" w:space="0" w:color="333333"/>
              <w:left w:val="single" w:sz="8" w:space="0" w:color="333333"/>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c>
          <w:tcPr>
            <w:tcW w:w="945" w:type="dxa"/>
            <w:tcBorders>
              <w:top w:val="single" w:sz="8" w:space="0" w:color="000000"/>
              <w:left w:val="single" w:sz="8" w:space="0" w:color="000000"/>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c>
          <w:tcPr>
            <w:tcW w:w="1200" w:type="dxa"/>
            <w:tcBorders>
              <w:top w:val="single" w:sz="8" w:space="0" w:color="000000"/>
              <w:left w:val="single" w:sz="8" w:space="0" w:color="000000"/>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c>
          <w:tcPr>
            <w:tcW w:w="1200" w:type="dxa"/>
            <w:tcBorders>
              <w:top w:val="single" w:sz="8" w:space="0" w:color="000000"/>
              <w:left w:val="single" w:sz="8" w:space="0" w:color="000000"/>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c>
          <w:tcPr>
            <w:tcW w:w="1050" w:type="dxa"/>
            <w:tcBorders>
              <w:top w:val="single" w:sz="8" w:space="0" w:color="000000"/>
              <w:left w:val="single" w:sz="8" w:space="0" w:color="000000"/>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c>
          <w:tcPr>
            <w:tcW w:w="1139" w:type="dxa"/>
            <w:tcBorders>
              <w:top w:val="single" w:sz="8" w:space="0" w:color="000000"/>
              <w:left w:val="single" w:sz="8" w:space="0" w:color="000000"/>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c>
          <w:tcPr>
            <w:tcW w:w="1139" w:type="dxa"/>
            <w:tcBorders>
              <w:top w:val="single" w:sz="8" w:space="0" w:color="000000"/>
              <w:left w:val="single" w:sz="8" w:space="0" w:color="000000"/>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r>
      <w:tr>
        <w:trPr/>
        <w:tc>
          <w:tcPr>
            <w:tcW w:w="1229" w:type="dxa"/>
            <w:tcBorders>
              <w:top w:val="single" w:sz="8" w:space="0" w:color="333333"/>
              <w:left w:val="single" w:sz="8" w:space="0" w:color="000000"/>
              <w:bottom w:val="single" w:sz="8" w:space="0" w:color="000000"/>
              <w:right w:val="single" w:sz="8" w:space="0" w:color="000000"/>
            </w:tcBorders>
            <w:shd w:fill="auto" w:val="clear"/>
            <w:vAlign w:val="center"/>
          </w:tcPr>
          <w:p>
            <w:pPr>
              <w:pStyle w:val="Normal1"/>
              <w:widowControl w:val="false"/>
              <w:spacing w:lineRule="auto" w:line="240"/>
              <w:jc w:val="center"/>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BA.1 + C21772T</w:t>
            </w:r>
          </w:p>
        </w:tc>
        <w:tc>
          <w:tcPr>
            <w:tcW w:w="1126" w:type="dxa"/>
            <w:tcBorders>
              <w:top w:val="single" w:sz="8" w:space="0" w:color="000000"/>
              <w:left w:val="single" w:sz="8" w:space="0" w:color="000000"/>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c>
          <w:tcPr>
            <w:tcW w:w="945" w:type="dxa"/>
            <w:tcBorders>
              <w:top w:val="single" w:sz="8" w:space="0" w:color="000000"/>
              <w:left w:val="single" w:sz="8" w:space="0" w:color="000000"/>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c>
          <w:tcPr>
            <w:tcW w:w="1200" w:type="dxa"/>
            <w:tcBorders>
              <w:top w:val="single" w:sz="8" w:space="0" w:color="000000"/>
              <w:left w:val="single" w:sz="8" w:space="0" w:color="000000"/>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c>
          <w:tcPr>
            <w:tcW w:w="1200" w:type="dxa"/>
            <w:tcBorders>
              <w:top w:val="single" w:sz="8" w:space="0" w:color="000000"/>
              <w:left w:val="single" w:sz="8" w:space="0" w:color="000000"/>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c>
          <w:tcPr>
            <w:tcW w:w="1050" w:type="dxa"/>
            <w:tcBorders>
              <w:top w:val="single" w:sz="8" w:space="0" w:color="000000"/>
              <w:left w:val="single" w:sz="8" w:space="0" w:color="000000"/>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c>
          <w:tcPr>
            <w:tcW w:w="1139" w:type="dxa"/>
            <w:tcBorders>
              <w:top w:val="single" w:sz="8" w:space="0" w:color="000000"/>
              <w:left w:val="single" w:sz="8" w:space="0" w:color="000000"/>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c>
          <w:tcPr>
            <w:tcW w:w="1139" w:type="dxa"/>
            <w:tcBorders>
              <w:top w:val="single" w:sz="8" w:space="0" w:color="000000"/>
              <w:left w:val="single" w:sz="8" w:space="0" w:color="000000"/>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r>
      <w:tr>
        <w:trPr/>
        <w:tc>
          <w:tcPr>
            <w:tcW w:w="1229" w:type="dxa"/>
            <w:tcBorders>
              <w:top w:val="single" w:sz="8" w:space="0" w:color="000000"/>
              <w:left w:val="single" w:sz="8" w:space="0" w:color="000000"/>
              <w:bottom w:val="single" w:sz="8" w:space="0" w:color="000000"/>
              <w:right w:val="single" w:sz="8" w:space="0" w:color="000000"/>
            </w:tcBorders>
            <w:shd w:fill="auto" w:val="clear"/>
            <w:vAlign w:val="center"/>
          </w:tcPr>
          <w:p>
            <w:pPr>
              <w:pStyle w:val="Normal1"/>
              <w:widowControl w:val="false"/>
              <w:spacing w:lineRule="auto" w:line="240"/>
              <w:jc w:val="center"/>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BA.2</w:t>
            </w:r>
          </w:p>
        </w:tc>
        <w:tc>
          <w:tcPr>
            <w:tcW w:w="1126" w:type="dxa"/>
            <w:tcBorders>
              <w:top w:val="single" w:sz="8" w:space="0" w:color="000000"/>
              <w:left w:val="single" w:sz="8" w:space="0" w:color="000000"/>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c>
          <w:tcPr>
            <w:tcW w:w="945" w:type="dxa"/>
            <w:tcBorders>
              <w:top w:val="single" w:sz="8" w:space="0" w:color="000000"/>
              <w:left w:val="single" w:sz="8" w:space="0" w:color="000000"/>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c>
          <w:tcPr>
            <w:tcW w:w="1200" w:type="dxa"/>
            <w:tcBorders>
              <w:top w:val="single" w:sz="8" w:space="0" w:color="000000"/>
              <w:left w:val="single" w:sz="8" w:space="0" w:color="000000"/>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c>
          <w:tcPr>
            <w:tcW w:w="1200" w:type="dxa"/>
            <w:tcBorders>
              <w:top w:val="single" w:sz="8" w:space="0" w:color="000000"/>
              <w:left w:val="single" w:sz="8" w:space="0" w:color="000000"/>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c>
          <w:tcPr>
            <w:tcW w:w="1050" w:type="dxa"/>
            <w:tcBorders>
              <w:top w:val="single" w:sz="8" w:space="0" w:color="000000"/>
              <w:left w:val="single" w:sz="8" w:space="0" w:color="000000"/>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c>
          <w:tcPr>
            <w:tcW w:w="1139" w:type="dxa"/>
            <w:tcBorders>
              <w:top w:val="single" w:sz="8" w:space="0" w:color="000000"/>
              <w:left w:val="single" w:sz="8" w:space="0" w:color="000000"/>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c>
          <w:tcPr>
            <w:tcW w:w="1139" w:type="dxa"/>
            <w:tcBorders>
              <w:top w:val="single" w:sz="8" w:space="0" w:color="000000"/>
              <w:left w:val="single" w:sz="8" w:space="0" w:color="000000"/>
              <w:bottom w:val="single" w:sz="8" w:space="0" w:color="000000"/>
              <w:right w:val="single" w:sz="8" w:space="0" w:color="000000"/>
            </w:tcBorders>
            <w:shd w:fill="FFFFFF" w:val="clear"/>
            <w:vAlign w:val="center"/>
          </w:tcPr>
          <w:p>
            <w:pPr>
              <w:pStyle w:val="Normal1"/>
              <w:widowControl w:val="false"/>
              <w:spacing w:lineRule="auto" w:line="240"/>
              <w:jc w:val="center"/>
              <w:rPr>
                <w:rFonts w:ascii="Times New Roman" w:hAnsi="Times New Roman" w:eastAsia="Times New Roman" w:cs="Times New Roman"/>
                <w:b/>
                <w:b/>
                <w:color w:val="333333"/>
                <w:sz w:val="24"/>
                <w:szCs w:val="24"/>
              </w:rPr>
            </w:pPr>
            <w:r>
              <w:rPr>
                <w:rFonts w:eastAsia="Times New Roman" w:cs="Times New Roman" w:ascii="Times New Roman" w:hAnsi="Times New Roman"/>
                <w:b/>
                <w:color w:val="333333"/>
                <w:sz w:val="24"/>
                <w:szCs w:val="24"/>
              </w:rPr>
              <w:t>-</w:t>
            </w:r>
          </w:p>
        </w:tc>
      </w:tr>
    </w:tbl>
    <w:p>
      <w:pPr>
        <w:pStyle w:val="Normal1"/>
        <w:spacing w:lineRule="auto" w:line="259" w:before="0" w:after="160"/>
        <w:jc w:val="both"/>
        <w:rPr>
          <w:rFonts w:ascii="Times New Roman" w:hAnsi="Times New Roman" w:eastAsia="Times New Roman" w:cs="Times New Roman"/>
          <w:color w:val="FF0000"/>
        </w:rPr>
      </w:pPr>
      <w:r>
        <w:rPr>
          <w:rFonts w:eastAsia="Times New Roman" w:cs="Times New Roman" w:ascii="Times New Roman" w:hAnsi="Times New Roman"/>
          <w:color w:val="FF0000"/>
        </w:rPr>
      </w:r>
    </w:p>
    <w:p>
      <w:pPr>
        <w:pStyle w:val="Normal1"/>
        <w:jc w:val="both"/>
        <w:rPr>
          <w:rFonts w:ascii="Times New Roman" w:hAnsi="Times New Roman" w:eastAsia="Times New Roman" w:cs="Times New Roman"/>
        </w:rPr>
      </w:pPr>
      <w:r>
        <w:rPr>
          <w:rFonts w:eastAsia="Times New Roman" w:cs="Times New Roman" w:ascii="Times New Roman" w:hAnsi="Times New Roman"/>
        </w:rPr>
      </w:r>
      <w:r>
        <w:br w:type="page"/>
      </w:r>
    </w:p>
    <w:p>
      <w:pPr>
        <w:pStyle w:val="Normal1"/>
        <w:jc w:val="both"/>
        <w:rPr>
          <w:rFonts w:ascii="Times New Roman" w:hAnsi="Times New Roman" w:eastAsia="Times New Roman" w:cs="Times New Roman"/>
          <w:sz w:val="24"/>
          <w:szCs w:val="24"/>
        </w:rPr>
      </w:pPr>
      <w:r>
        <w:rPr>
          <w:rFonts w:eastAsia="Times New Roman" w:cs="Times New Roman" w:ascii="Times New Roman" w:hAnsi="Times New Roman"/>
          <w:b/>
          <w:sz w:val="24"/>
          <w:szCs w:val="24"/>
        </w:rPr>
        <w:t>Supplementary table 4: Average melting temperature peaks detected for Omicron variants using variant specific PCR VirSnip SARS-CoV-267V del69/70.</w:t>
      </w:r>
      <w:r>
        <w:rPr>
          <w:rFonts w:eastAsia="Times New Roman" w:cs="Times New Roman" w:ascii="Times New Roman" w:hAnsi="Times New Roman"/>
          <w:sz w:val="24"/>
          <w:szCs w:val="24"/>
        </w:rPr>
        <w:t xml:space="preserve"> All peaks correlate with their expected position according to the genome of the variant (BA.1 - 67V 69/70del, BA.2 - no deletion, BA.4/5 - 69/70del). C21772T causes an average 4.5 ºC shift in melting temperature compared with parental BA.1.</w:t>
      </w:r>
    </w:p>
    <w:p>
      <w:pPr>
        <w:pStyle w:val="Normal1"/>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r>
    </w:p>
    <w:tbl>
      <w:tblPr>
        <w:tblStyle w:val="Table4"/>
        <w:tblW w:w="8925" w:type="dxa"/>
        <w:jc w:val="center"/>
        <w:tblInd w:w="0" w:type="dxa"/>
        <w:tblLayout w:type="fixed"/>
        <w:tblCellMar>
          <w:top w:w="100" w:type="dxa"/>
          <w:left w:w="100" w:type="dxa"/>
          <w:bottom w:w="100" w:type="dxa"/>
          <w:right w:w="100" w:type="dxa"/>
        </w:tblCellMar>
        <w:tblLook w:val="0600"/>
      </w:tblPr>
      <w:tblGrid>
        <w:gridCol w:w="1665"/>
        <w:gridCol w:w="3645"/>
        <w:gridCol w:w="3615"/>
      </w:tblGrid>
      <w:tr>
        <w:trPr>
          <w:trHeight w:val="566" w:hRule="atLeast"/>
        </w:trPr>
        <w:tc>
          <w:tcPr>
            <w:tcW w:w="1665" w:type="dxa"/>
            <w:tcBorders>
              <w:right w:val="single" w:sz="6" w:space="0" w:color="000000"/>
            </w:tcBorders>
            <w:shd w:fill="FFFFFF" w:val="clear"/>
          </w:tcPr>
          <w:p>
            <w:pPr>
              <w:pStyle w:val="Normal1"/>
              <w:widowControl w:val="false"/>
              <w:spacing w:lineRule="auto" w:line="240" w:before="240" w:after="240"/>
              <w:jc w:val="both"/>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w:t>
            </w:r>
          </w:p>
        </w:tc>
        <w:tc>
          <w:tcPr>
            <w:tcW w:w="7260" w:type="dxa"/>
            <w:gridSpan w:val="2"/>
            <w:tcBorders>
              <w:top w:val="single" w:sz="6" w:space="0" w:color="000000"/>
              <w:left w:val="single" w:sz="6" w:space="0" w:color="000000"/>
              <w:bottom w:val="single" w:sz="6" w:space="0" w:color="000000"/>
              <w:right w:val="single" w:sz="6" w:space="0" w:color="000000"/>
            </w:tcBorders>
            <w:shd w:fill="FFFFFF" w:val="clear"/>
            <w:vAlign w:val="center"/>
          </w:tcPr>
          <w:p>
            <w:pPr>
              <w:pStyle w:val="Normal1"/>
              <w:widowControl w:val="false"/>
              <w:spacing w:lineRule="auto" w:line="240" w:before="0" w:after="0"/>
              <w:jc w:val="center"/>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VirSnip assay A67V 69/70del​</w:t>
            </w:r>
          </w:p>
        </w:tc>
      </w:tr>
      <w:tr>
        <w:trPr>
          <w:trHeight w:val="566" w:hRule="atLeast"/>
        </w:trPr>
        <w:tc>
          <w:tcPr>
            <w:tcW w:w="1665" w:type="dxa"/>
            <w:tcBorders>
              <w:bottom w:val="single" w:sz="6" w:space="0" w:color="000000"/>
              <w:right w:val="single" w:sz="6" w:space="0" w:color="000000"/>
            </w:tcBorders>
            <w:shd w:fill="FFFFFF" w:val="clear"/>
          </w:tcPr>
          <w:p>
            <w:pPr>
              <w:pStyle w:val="Normal1"/>
              <w:widowControl w:val="false"/>
              <w:spacing w:lineRule="auto" w:line="240" w:before="240" w:after="2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r>
          </w:p>
        </w:tc>
        <w:tc>
          <w:tcPr>
            <w:tcW w:w="3645" w:type="dxa"/>
            <w:tcBorders>
              <w:top w:val="single" w:sz="6" w:space="0" w:color="000000"/>
              <w:left w:val="single" w:sz="6" w:space="0" w:color="000000"/>
              <w:bottom w:val="single" w:sz="6" w:space="0" w:color="000000"/>
              <w:right w:val="single" w:sz="6" w:space="0" w:color="000000"/>
            </w:tcBorders>
            <w:shd w:fill="FFFFFF" w:val="clear"/>
            <w:vAlign w:val="center"/>
          </w:tcPr>
          <w:p>
            <w:pPr>
              <w:pStyle w:val="Normal1"/>
              <w:widowControl w:val="false"/>
              <w:spacing w:lineRule="auto" w:line="240" w:before="0" w:after="0"/>
              <w:jc w:val="center"/>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 xml:space="preserve">Melting temperature </w:t>
            </w:r>
          </w:p>
          <w:p>
            <w:pPr>
              <w:pStyle w:val="Normal1"/>
              <w:widowControl w:val="fals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b/>
                <w:sz w:val="24"/>
                <w:szCs w:val="24"/>
              </w:rPr>
              <w:t>peak expected</w:t>
            </w:r>
            <w:r>
              <w:rPr>
                <w:rFonts w:eastAsia="Times New Roman" w:cs="Times New Roman" w:ascii="Times New Roman" w:hAnsi="Times New Roman"/>
                <w:sz w:val="24"/>
                <w:szCs w:val="24"/>
              </w:rPr>
              <w:t>​</w:t>
            </w:r>
          </w:p>
        </w:tc>
        <w:tc>
          <w:tcPr>
            <w:tcW w:w="3615" w:type="dxa"/>
            <w:tcBorders>
              <w:top w:val="single" w:sz="6" w:space="0" w:color="000000"/>
              <w:left w:val="single" w:sz="6" w:space="0" w:color="000000"/>
              <w:bottom w:val="single" w:sz="6" w:space="0" w:color="000000"/>
              <w:right w:val="single" w:sz="6" w:space="0" w:color="000000"/>
            </w:tcBorders>
            <w:shd w:fill="FFFFFF" w:val="clear"/>
            <w:vAlign w:val="center"/>
          </w:tcPr>
          <w:p>
            <w:pPr>
              <w:pStyle w:val="Normal1"/>
              <w:widowControl w:val="false"/>
              <w:spacing w:lineRule="auto" w:line="240" w:before="0" w:after="0"/>
              <w:jc w:val="center"/>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 xml:space="preserve">Melting temperature </w:t>
            </w:r>
          </w:p>
          <w:p>
            <w:pPr>
              <w:pStyle w:val="Normal1"/>
              <w:widowControl w:val="fals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b/>
                <w:sz w:val="24"/>
                <w:szCs w:val="24"/>
              </w:rPr>
              <w:t>peak detected</w:t>
            </w:r>
            <w:r>
              <w:rPr>
                <w:rFonts w:eastAsia="Times New Roman" w:cs="Times New Roman" w:ascii="Times New Roman" w:hAnsi="Times New Roman"/>
                <w:sz w:val="24"/>
                <w:szCs w:val="24"/>
              </w:rPr>
              <w:t>​</w:t>
            </w:r>
          </w:p>
        </w:tc>
      </w:tr>
      <w:tr>
        <w:trPr>
          <w:trHeight w:val="566" w:hRule="atLeast"/>
        </w:trPr>
        <w:tc>
          <w:tcPr>
            <w:tcW w:w="1665" w:type="dxa"/>
            <w:tcBorders>
              <w:top w:val="single" w:sz="6" w:space="0" w:color="000000"/>
              <w:left w:val="single" w:sz="6" w:space="0" w:color="000000"/>
              <w:bottom w:val="single" w:sz="6" w:space="0" w:color="000000"/>
              <w:right w:val="single" w:sz="6" w:space="0" w:color="000000"/>
            </w:tcBorders>
            <w:shd w:fill="FFFFFF" w:val="clear"/>
            <w:vAlign w:val="center"/>
          </w:tcPr>
          <w:p>
            <w:pPr>
              <w:pStyle w:val="Normal1"/>
              <w:widowControl w:val="false"/>
              <w:spacing w:lineRule="auto" w:line="240" w:before="0" w:after="0"/>
              <w:jc w:val="center"/>
              <w:rPr>
                <w:rFonts w:ascii="Times New Roman" w:hAnsi="Times New Roman" w:eastAsia="Times New Roman" w:cs="Times New Roman"/>
                <w:b/>
                <w:b/>
                <w:sz w:val="24"/>
                <w:szCs w:val="24"/>
              </w:rPr>
            </w:pPr>
            <w:r>
              <w:rPr>
                <w:rFonts w:eastAsia="Times New Roman" w:cs="Times New Roman" w:ascii="Times New Roman" w:hAnsi="Times New Roman"/>
                <w:b/>
                <w:color w:val="0D0D0D"/>
                <w:sz w:val="24"/>
                <w:szCs w:val="24"/>
              </w:rPr>
              <w:t>BA.1</w:t>
            </w:r>
            <w:r>
              <w:rPr>
                <w:rFonts w:eastAsia="Times New Roman" w:cs="Times New Roman" w:ascii="Times New Roman" w:hAnsi="Times New Roman"/>
                <w:b/>
                <w:sz w:val="24"/>
                <w:szCs w:val="24"/>
              </w:rPr>
              <w:t>​</w:t>
            </w:r>
          </w:p>
        </w:tc>
        <w:tc>
          <w:tcPr>
            <w:tcW w:w="3645" w:type="dxa"/>
            <w:tcBorders>
              <w:top w:val="single" w:sz="6" w:space="0" w:color="000000"/>
              <w:left w:val="single" w:sz="6" w:space="0" w:color="000000"/>
              <w:bottom w:val="single" w:sz="6" w:space="0" w:color="000000"/>
              <w:right w:val="single" w:sz="6" w:space="0" w:color="000000"/>
            </w:tcBorders>
            <w:shd w:fill="FFFFFF" w:val="clear"/>
            <w:vAlign w:val="center"/>
          </w:tcPr>
          <w:p>
            <w:pPr>
              <w:pStyle w:val="Normal1"/>
              <w:widowControl w:val="fals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65.0-66.0 ºC​</w:t>
            </w:r>
          </w:p>
        </w:tc>
        <w:tc>
          <w:tcPr>
            <w:tcW w:w="3615" w:type="dxa"/>
            <w:tcBorders>
              <w:top w:val="single" w:sz="6" w:space="0" w:color="000000"/>
              <w:left w:val="single" w:sz="6" w:space="0" w:color="000000"/>
              <w:bottom w:val="single" w:sz="6" w:space="0" w:color="000000"/>
              <w:right w:val="single" w:sz="6" w:space="0" w:color="000000"/>
            </w:tcBorders>
            <w:shd w:fill="FFFFFF" w:val="clear"/>
            <w:vAlign w:val="center"/>
          </w:tcPr>
          <w:p>
            <w:pPr>
              <w:pStyle w:val="Normal1"/>
              <w:widowControl w:val="fals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65.2 ºC​</w:t>
            </w:r>
          </w:p>
        </w:tc>
      </w:tr>
      <w:tr>
        <w:trPr>
          <w:trHeight w:val="566" w:hRule="atLeast"/>
        </w:trPr>
        <w:tc>
          <w:tcPr>
            <w:tcW w:w="1665" w:type="dxa"/>
            <w:tcBorders>
              <w:top w:val="single" w:sz="6" w:space="0" w:color="000000"/>
              <w:left w:val="single" w:sz="6" w:space="0" w:color="000000"/>
              <w:bottom w:val="single" w:sz="6" w:space="0" w:color="000000"/>
              <w:right w:val="single" w:sz="6" w:space="0" w:color="000000"/>
            </w:tcBorders>
            <w:shd w:fill="FFFFFF" w:val="clear"/>
            <w:vAlign w:val="center"/>
          </w:tcPr>
          <w:p>
            <w:pPr>
              <w:pStyle w:val="Normal1"/>
              <w:widowControl w:val="false"/>
              <w:spacing w:lineRule="auto" w:line="240" w:before="0" w:after="0"/>
              <w:jc w:val="center"/>
              <w:rPr>
                <w:rFonts w:ascii="Times New Roman" w:hAnsi="Times New Roman" w:eastAsia="Times New Roman" w:cs="Times New Roman"/>
                <w:b/>
                <w:b/>
                <w:sz w:val="24"/>
                <w:szCs w:val="24"/>
              </w:rPr>
            </w:pPr>
            <w:r>
              <w:rPr>
                <w:rFonts w:eastAsia="Times New Roman" w:cs="Times New Roman" w:ascii="Times New Roman" w:hAnsi="Times New Roman"/>
                <w:b/>
                <w:color w:val="0D0D0D"/>
                <w:sz w:val="24"/>
                <w:szCs w:val="24"/>
              </w:rPr>
              <w:t xml:space="preserve">BA.1 + </w:t>
            </w:r>
            <w:r>
              <w:rPr>
                <w:rFonts w:eastAsia="Times New Roman" w:cs="Times New Roman" w:ascii="Times New Roman" w:hAnsi="Times New Roman"/>
                <w:b/>
                <w:sz w:val="24"/>
                <w:szCs w:val="24"/>
              </w:rPr>
              <w:t>​</w:t>
            </w:r>
          </w:p>
          <w:p>
            <w:pPr>
              <w:pStyle w:val="Normal1"/>
              <w:widowControl w:val="false"/>
              <w:spacing w:lineRule="auto" w:line="240" w:before="0" w:after="0"/>
              <w:jc w:val="center"/>
              <w:rPr>
                <w:rFonts w:ascii="Times New Roman" w:hAnsi="Times New Roman" w:eastAsia="Times New Roman" w:cs="Times New Roman"/>
                <w:b/>
                <w:b/>
                <w:sz w:val="24"/>
                <w:szCs w:val="24"/>
              </w:rPr>
            </w:pPr>
            <w:r>
              <w:rPr>
                <w:rFonts w:eastAsia="Times New Roman" w:cs="Times New Roman" w:ascii="Times New Roman" w:hAnsi="Times New Roman"/>
                <w:b/>
                <w:color w:val="0D0D0D"/>
                <w:sz w:val="24"/>
                <w:szCs w:val="24"/>
              </w:rPr>
              <w:t>C21772T</w:t>
            </w:r>
            <w:r>
              <w:rPr>
                <w:rFonts w:eastAsia="Times New Roman" w:cs="Times New Roman" w:ascii="Times New Roman" w:hAnsi="Times New Roman"/>
                <w:b/>
                <w:sz w:val="24"/>
                <w:szCs w:val="24"/>
              </w:rPr>
              <w:t>​</w:t>
            </w:r>
          </w:p>
        </w:tc>
        <w:tc>
          <w:tcPr>
            <w:tcW w:w="3645" w:type="dxa"/>
            <w:tcBorders>
              <w:top w:val="single" w:sz="6" w:space="0" w:color="000000"/>
              <w:left w:val="single" w:sz="6" w:space="0" w:color="000000"/>
              <w:bottom w:val="single" w:sz="6" w:space="0" w:color="000000"/>
              <w:right w:val="single" w:sz="6" w:space="0" w:color="000000"/>
            </w:tcBorders>
            <w:shd w:fill="FFFFFF" w:val="clear"/>
            <w:vAlign w:val="center"/>
          </w:tcPr>
          <w:p>
            <w:pPr>
              <w:pStyle w:val="Normal1"/>
              <w:widowControl w:val="fals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NA​</w:t>
            </w:r>
          </w:p>
        </w:tc>
        <w:tc>
          <w:tcPr>
            <w:tcW w:w="3615" w:type="dxa"/>
            <w:tcBorders>
              <w:top w:val="single" w:sz="6" w:space="0" w:color="000000"/>
              <w:left w:val="single" w:sz="6" w:space="0" w:color="000000"/>
              <w:bottom w:val="single" w:sz="6" w:space="0" w:color="000000"/>
              <w:right w:val="single" w:sz="6" w:space="0" w:color="000000"/>
            </w:tcBorders>
            <w:shd w:fill="FFFFFF" w:val="clear"/>
            <w:vAlign w:val="center"/>
          </w:tcPr>
          <w:p>
            <w:pPr>
              <w:pStyle w:val="Normal1"/>
              <w:widowControl w:val="fals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57.9 ºC​</w:t>
            </w:r>
          </w:p>
        </w:tc>
      </w:tr>
      <w:tr>
        <w:trPr>
          <w:trHeight w:val="566" w:hRule="atLeast"/>
        </w:trPr>
        <w:tc>
          <w:tcPr>
            <w:tcW w:w="1665" w:type="dxa"/>
            <w:tcBorders>
              <w:top w:val="single" w:sz="6" w:space="0" w:color="000000"/>
              <w:left w:val="single" w:sz="6" w:space="0" w:color="000000"/>
              <w:bottom w:val="single" w:sz="6" w:space="0" w:color="000000"/>
              <w:right w:val="single" w:sz="6" w:space="0" w:color="000000"/>
            </w:tcBorders>
            <w:shd w:fill="FFFFFF" w:val="clear"/>
            <w:vAlign w:val="center"/>
          </w:tcPr>
          <w:p>
            <w:pPr>
              <w:pStyle w:val="Normal1"/>
              <w:widowControl w:val="false"/>
              <w:spacing w:lineRule="auto" w:line="240" w:before="0" w:after="0"/>
              <w:jc w:val="center"/>
              <w:rPr>
                <w:rFonts w:ascii="Times New Roman" w:hAnsi="Times New Roman" w:eastAsia="Times New Roman" w:cs="Times New Roman"/>
                <w:b/>
                <w:b/>
                <w:sz w:val="24"/>
                <w:szCs w:val="24"/>
              </w:rPr>
            </w:pPr>
            <w:r>
              <w:rPr>
                <w:rFonts w:eastAsia="Times New Roman" w:cs="Times New Roman" w:ascii="Times New Roman" w:hAnsi="Times New Roman"/>
                <w:b/>
                <w:color w:val="0D0D0D"/>
                <w:sz w:val="24"/>
                <w:szCs w:val="24"/>
              </w:rPr>
              <w:t>BA.2</w:t>
            </w:r>
            <w:r>
              <w:rPr>
                <w:rFonts w:eastAsia="Times New Roman" w:cs="Times New Roman" w:ascii="Times New Roman" w:hAnsi="Times New Roman"/>
                <w:b/>
                <w:sz w:val="24"/>
                <w:szCs w:val="24"/>
              </w:rPr>
              <w:t>​</w:t>
            </w:r>
          </w:p>
        </w:tc>
        <w:tc>
          <w:tcPr>
            <w:tcW w:w="3645" w:type="dxa"/>
            <w:tcBorders>
              <w:top w:val="single" w:sz="6" w:space="0" w:color="000000"/>
              <w:left w:val="single" w:sz="6" w:space="0" w:color="000000"/>
              <w:bottom w:val="single" w:sz="6" w:space="0" w:color="000000"/>
              <w:right w:val="single" w:sz="6" w:space="0" w:color="000000"/>
            </w:tcBorders>
            <w:shd w:fill="FFFFFF" w:val="clear"/>
            <w:vAlign w:val="center"/>
          </w:tcPr>
          <w:p>
            <w:pPr>
              <w:pStyle w:val="Normal1"/>
              <w:widowControl w:val="fals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60.0-61.0 ºC​</w:t>
            </w:r>
          </w:p>
        </w:tc>
        <w:tc>
          <w:tcPr>
            <w:tcW w:w="3615" w:type="dxa"/>
            <w:tcBorders>
              <w:top w:val="single" w:sz="6" w:space="0" w:color="000000"/>
              <w:left w:val="single" w:sz="6" w:space="0" w:color="000000"/>
              <w:bottom w:val="single" w:sz="6" w:space="0" w:color="000000"/>
              <w:right w:val="single" w:sz="6" w:space="0" w:color="000000"/>
            </w:tcBorders>
            <w:shd w:fill="FFFFFF" w:val="clear"/>
            <w:vAlign w:val="center"/>
          </w:tcPr>
          <w:p>
            <w:pPr>
              <w:pStyle w:val="Normal1"/>
              <w:widowControl w:val="fals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60.0 ºC​</w:t>
            </w:r>
          </w:p>
        </w:tc>
      </w:tr>
      <w:tr>
        <w:trPr>
          <w:trHeight w:val="566" w:hRule="atLeast"/>
        </w:trPr>
        <w:tc>
          <w:tcPr>
            <w:tcW w:w="1665" w:type="dxa"/>
            <w:tcBorders>
              <w:top w:val="single" w:sz="6" w:space="0" w:color="000000"/>
              <w:left w:val="single" w:sz="6" w:space="0" w:color="000000"/>
              <w:bottom w:val="single" w:sz="6" w:space="0" w:color="000000"/>
              <w:right w:val="single" w:sz="6" w:space="0" w:color="000000"/>
            </w:tcBorders>
            <w:shd w:fill="FFFFFF" w:val="clear"/>
            <w:vAlign w:val="center"/>
          </w:tcPr>
          <w:p>
            <w:pPr>
              <w:pStyle w:val="Normal1"/>
              <w:widowControl w:val="false"/>
              <w:spacing w:lineRule="auto" w:line="240" w:before="0" w:after="0"/>
              <w:jc w:val="center"/>
              <w:rPr>
                <w:rFonts w:ascii="Times New Roman" w:hAnsi="Times New Roman" w:eastAsia="Times New Roman" w:cs="Times New Roman"/>
                <w:b/>
                <w:b/>
                <w:sz w:val="24"/>
                <w:szCs w:val="24"/>
              </w:rPr>
            </w:pPr>
            <w:r>
              <w:rPr>
                <w:rFonts w:eastAsia="Times New Roman" w:cs="Times New Roman" w:ascii="Times New Roman" w:hAnsi="Times New Roman"/>
                <w:b/>
                <w:color w:val="0D0D0D"/>
                <w:sz w:val="24"/>
                <w:szCs w:val="24"/>
              </w:rPr>
              <w:t>BA.4/5</w:t>
            </w:r>
            <w:r>
              <w:rPr>
                <w:rFonts w:eastAsia="Times New Roman" w:cs="Times New Roman" w:ascii="Times New Roman" w:hAnsi="Times New Roman"/>
                <w:b/>
                <w:sz w:val="24"/>
                <w:szCs w:val="24"/>
              </w:rPr>
              <w:t>​</w:t>
            </w:r>
          </w:p>
        </w:tc>
        <w:tc>
          <w:tcPr>
            <w:tcW w:w="3645" w:type="dxa"/>
            <w:tcBorders>
              <w:top w:val="single" w:sz="6" w:space="0" w:color="000000"/>
              <w:left w:val="single" w:sz="6" w:space="0" w:color="000000"/>
              <w:bottom w:val="single" w:sz="6" w:space="0" w:color="000000"/>
              <w:right w:val="single" w:sz="6" w:space="0" w:color="000000"/>
            </w:tcBorders>
            <w:shd w:fill="FFFFFF" w:val="clear"/>
            <w:vAlign w:val="center"/>
          </w:tcPr>
          <w:p>
            <w:pPr>
              <w:pStyle w:val="Normal1"/>
              <w:widowControl w:val="fals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62.5-63.5 ºC​</w:t>
            </w:r>
          </w:p>
        </w:tc>
        <w:tc>
          <w:tcPr>
            <w:tcW w:w="3615" w:type="dxa"/>
            <w:tcBorders>
              <w:top w:val="single" w:sz="6" w:space="0" w:color="000000"/>
              <w:left w:val="single" w:sz="6" w:space="0" w:color="000000"/>
              <w:bottom w:val="single" w:sz="6" w:space="0" w:color="000000"/>
              <w:right w:val="single" w:sz="6" w:space="0" w:color="000000"/>
            </w:tcBorders>
            <w:shd w:fill="FFFFFF" w:val="clear"/>
            <w:vAlign w:val="center"/>
          </w:tcPr>
          <w:p>
            <w:pPr>
              <w:pStyle w:val="Normal1"/>
              <w:widowControl w:val="fals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62.4 ºC​</w:t>
            </w:r>
          </w:p>
        </w:tc>
      </w:tr>
    </w:tbl>
    <w:p>
      <w:pPr>
        <w:pStyle w:val="Normal1"/>
        <w:jc w:val="both"/>
        <w:rPr>
          <w:rFonts w:ascii="Times New Roman" w:hAnsi="Times New Roman" w:eastAsia="Times New Roman" w:cs="Times New Roman"/>
        </w:rPr>
      </w:pPr>
      <w:r>
        <w:rPr>
          <w:rFonts w:eastAsia="Times New Roman" w:cs="Times New Roman" w:ascii="Times New Roman" w:hAnsi="Times New Roman"/>
        </w:rPr>
      </w:r>
    </w:p>
    <w:p>
      <w:pPr>
        <w:pStyle w:val="Normal1"/>
        <w:jc w:val="both"/>
        <w:rPr>
          <w:rFonts w:ascii="Times New Roman" w:hAnsi="Times New Roman" w:eastAsia="Times New Roman" w:cs="Times New Roman"/>
        </w:rPr>
      </w:pPr>
      <w:r>
        <w:rPr>
          <w:rFonts w:eastAsia="Times New Roman" w:cs="Times New Roman" w:ascii="Times New Roman" w:hAnsi="Times New Roman"/>
        </w:rPr>
      </w:r>
      <w:r>
        <w:br w:type="page"/>
      </w:r>
    </w:p>
    <w:p>
      <w:pPr>
        <w:pStyle w:val="Normal1"/>
        <w:jc w:val="both"/>
        <w:rPr>
          <w:rFonts w:ascii="Times New Roman" w:hAnsi="Times New Roman" w:eastAsia="Times New Roman" w:cs="Times New Roman"/>
          <w:sz w:val="24"/>
          <w:szCs w:val="24"/>
        </w:rPr>
      </w:pPr>
      <w:r>
        <w:rPr>
          <w:rFonts w:eastAsia="Times New Roman" w:cs="Times New Roman" w:ascii="Times New Roman" w:hAnsi="Times New Roman"/>
          <w:b/>
          <w:sz w:val="24"/>
          <w:szCs w:val="24"/>
        </w:rPr>
        <w:t>Supplementary Figure 1:</w:t>
      </w:r>
      <w:r>
        <w:rPr>
          <w:rFonts w:eastAsia="Times New Roman" w:cs="Times New Roman" w:ascii="Times New Roman" w:hAnsi="Times New Roman"/>
          <w:sz w:val="24"/>
          <w:szCs w:val="24"/>
        </w:rPr>
        <w:t xml:space="preserve"> </w:t>
      </w:r>
      <w:r>
        <w:rPr>
          <w:rFonts w:eastAsia="Times New Roman" w:cs="Times New Roman" w:ascii="Times New Roman" w:hAnsi="Times New Roman"/>
          <w:b/>
          <w:sz w:val="24"/>
          <w:szCs w:val="24"/>
        </w:rPr>
        <w:t xml:space="preserve">Phylogenetic tree and sequences (nucleotides 21760-21780). </w:t>
      </w:r>
      <w:r>
        <w:rPr>
          <w:rFonts w:eastAsia="Times New Roman" w:cs="Times New Roman" w:ascii="Times New Roman" w:hAnsi="Times New Roman"/>
          <w:sz w:val="24"/>
          <w:szCs w:val="24"/>
        </w:rPr>
        <w:t xml:space="preserve">Subset of 84 BA.1.1.14 samples detected in Vigo, Galicia, Spain collected during March of 2022. BA.2 and Wuhan-Hu-1 variant are shown as outliers. </w:t>
      </w:r>
    </w:p>
    <w:p>
      <w:pPr>
        <w:pStyle w:val="Normal1"/>
        <w:jc w:val="both"/>
        <w:rPr>
          <w:rFonts w:ascii="Times New Roman" w:hAnsi="Times New Roman" w:eastAsia="Times New Roman" w:cs="Times New Roman"/>
          <w:sz w:val="20"/>
          <w:szCs w:val="20"/>
        </w:rPr>
      </w:pPr>
      <w:r>
        <w:rPr/>
        <w:drawing>
          <wp:inline distT="0" distB="0" distL="0" distR="0">
            <wp:extent cx="5796280" cy="3096260"/>
            <wp:effectExtent l="0" t="0" r="0" b="0"/>
            <wp:docPr id="1" name="image1.jp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g" descr=""/>
                    <pic:cNvPicPr>
                      <a:picLocks noChangeAspect="1" noChangeArrowheads="1"/>
                    </pic:cNvPicPr>
                  </pic:nvPicPr>
                  <pic:blipFill>
                    <a:blip r:embed="rId2"/>
                    <a:srcRect l="6145" t="6640" r="1494" b="5743"/>
                    <a:stretch>
                      <a:fillRect/>
                    </a:stretch>
                  </pic:blipFill>
                  <pic:spPr bwMode="auto">
                    <a:xfrm>
                      <a:off x="0" y="0"/>
                      <a:ext cx="5796280" cy="3096260"/>
                    </a:xfrm>
                    <a:prstGeom prst="rect">
                      <a:avLst/>
                    </a:prstGeom>
                  </pic:spPr>
                </pic:pic>
              </a:graphicData>
            </a:graphic>
          </wp:inline>
        </w:drawing>
      </w:r>
      <w:r>
        <w:br w:type="page"/>
      </w:r>
    </w:p>
    <w:p>
      <w:pPr>
        <w:pStyle w:val="Normal1"/>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Ttulo3"/>
        <w:keepNext w:val="false"/>
        <w:keepLines w:val="false"/>
        <w:pBdr/>
        <w:shd w:val="clear" w:fill="FFFFFF"/>
        <w:spacing w:lineRule="auto" w:line="374" w:before="220" w:after="220"/>
        <w:jc w:val="both"/>
        <w:rPr>
          <w:rFonts w:ascii="Times New Roman" w:hAnsi="Times New Roman" w:eastAsia="Times New Roman" w:cs="Times New Roman"/>
          <w:b/>
          <w:b/>
          <w:color w:val="121212"/>
          <w:sz w:val="24"/>
          <w:szCs w:val="24"/>
        </w:rPr>
      </w:pPr>
      <w:bookmarkStart w:id="0" w:name="_gjdgxs"/>
      <w:bookmarkEnd w:id="0"/>
      <w:r>
        <w:rPr>
          <w:rFonts w:eastAsia="Times New Roman" w:cs="Times New Roman" w:ascii="Times New Roman" w:hAnsi="Times New Roman"/>
          <w:b/>
          <w:color w:val="121212"/>
          <w:sz w:val="24"/>
          <w:szCs w:val="24"/>
        </w:rPr>
        <w:t>Supplementary data 1: Pipeline for bioinformatic analysis</w:t>
      </w:r>
    </w:p>
    <w:p>
      <w:pPr>
        <w:pStyle w:val="Normal1"/>
        <w:pBdr/>
        <w:shd w:val="clear" w:fill="FFFFFF"/>
        <w:spacing w:lineRule="auto" w:line="276" w:before="0" w:after="22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The reads were aligned to the reference MN908947.3 from Wuhan SARS-CoV-2 using BWA-mem. </w:t>
      </w:r>
      <w:hyperlink r:id="rId3">
        <w:r>
          <w:rPr>
            <w:rFonts w:eastAsia="Times New Roman" w:cs="Times New Roman" w:ascii="Times New Roman" w:hAnsi="Times New Roman"/>
            <w:sz w:val="24"/>
            <w:szCs w:val="24"/>
          </w:rPr>
          <w:t>(1)</w:t>
        </w:r>
      </w:hyperlink>
      <w:r>
        <w:rPr>
          <w:rFonts w:eastAsia="Times New Roman" w:cs="Times New Roman" w:ascii="Times New Roman" w:hAnsi="Times New Roman"/>
          <w:sz w:val="24"/>
          <w:szCs w:val="24"/>
        </w:rPr>
        <w:t xml:space="preserve"> Trimming and identification of SNPs and indels (minimum quality threshold of 30, minimum read depth of 10) was performed with iVar. </w:t>
      </w:r>
      <w:hyperlink r:id="rId4">
        <w:r>
          <w:rPr>
            <w:rFonts w:eastAsia="Times New Roman" w:cs="Times New Roman" w:ascii="Times New Roman" w:hAnsi="Times New Roman"/>
            <w:sz w:val="24"/>
            <w:szCs w:val="24"/>
          </w:rPr>
          <w:t>(2)</w:t>
        </w:r>
      </w:hyperlink>
    </w:p>
    <w:p>
      <w:pPr>
        <w:pStyle w:val="Normal1"/>
        <w:pBdr/>
        <w:shd w:val="clear" w:fill="FFFFFF"/>
        <w:spacing w:lineRule="auto" w:line="276" w:before="0" w:after="22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To build each consensus sequence, we merged the reads with SAMtools </w:t>
      </w:r>
      <w:r>
        <w:rPr>
          <w:rFonts w:eastAsia="Times New Roman" w:cs="Times New Roman" w:ascii="Times New Roman" w:hAnsi="Times New Roman"/>
          <w:i/>
          <w:sz w:val="24"/>
          <w:szCs w:val="24"/>
        </w:rPr>
        <w:t>mpileup</w:t>
      </w:r>
      <w:r>
        <w:rPr>
          <w:rFonts w:eastAsia="Times New Roman" w:cs="Times New Roman" w:ascii="Times New Roman" w:hAnsi="Times New Roman"/>
          <w:sz w:val="24"/>
          <w:szCs w:val="24"/>
        </w:rPr>
        <w:t xml:space="preserve"> and then used iVar </w:t>
      </w:r>
      <w:r>
        <w:rPr>
          <w:rFonts w:eastAsia="Times New Roman" w:cs="Times New Roman" w:ascii="Times New Roman" w:hAnsi="Times New Roman"/>
          <w:i/>
          <w:sz w:val="24"/>
          <w:szCs w:val="24"/>
        </w:rPr>
        <w:t>consensus</w:t>
      </w:r>
      <w:r>
        <w:rPr>
          <w:rFonts w:eastAsia="Times New Roman" w:cs="Times New Roman" w:ascii="Times New Roman" w:hAnsi="Times New Roman"/>
          <w:sz w:val="24"/>
          <w:szCs w:val="24"/>
        </w:rPr>
        <w:t xml:space="preserve"> with a minimum VAF threshold of 0.5. We assigned the consensus sequences to a SARS-CoV-2 clade and lineaje with Nextclade (</w:t>
      </w:r>
      <w:hyperlink r:id="rId5">
        <w:r>
          <w:rPr>
            <w:rFonts w:eastAsia="Times New Roman" w:cs="Times New Roman" w:ascii="Times New Roman" w:hAnsi="Times New Roman"/>
            <w:sz w:val="24"/>
            <w:szCs w:val="24"/>
          </w:rPr>
          <w:t>https://clades.nextstrain.org</w:t>
        </w:r>
      </w:hyperlink>
      <w:r>
        <w:rPr>
          <w:rFonts w:eastAsia="Times New Roman" w:cs="Times New Roman" w:ascii="Times New Roman" w:hAnsi="Times New Roman"/>
          <w:sz w:val="24"/>
          <w:szCs w:val="24"/>
        </w:rPr>
        <w:t xml:space="preserve">) and Usher genome (https://genome.ucsc.edu). The global quality reports were generated using FastQC. </w:t>
      </w:r>
      <w:hyperlink r:id="rId6">
        <w:r>
          <w:rPr>
            <w:rFonts w:eastAsia="Times New Roman" w:cs="Times New Roman" w:ascii="Times New Roman" w:hAnsi="Times New Roman"/>
            <w:sz w:val="24"/>
            <w:szCs w:val="24"/>
          </w:rPr>
          <w:t>(3)</w:t>
        </w:r>
      </w:hyperlink>
    </w:p>
    <w:p>
      <w:pPr>
        <w:pStyle w:val="Normal1"/>
        <w:pBdr/>
        <w:shd w:val="clear" w:fill="FFFFFF"/>
        <w:spacing w:lineRule="auto" w:line="276" w:before="0" w:after="22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pBdr/>
        <w:shd w:val="clear" w:fill="FFFFFF"/>
        <w:spacing w:lineRule="auto" w:line="276" w:before="0" w:after="220"/>
        <w:rPr>
          <w:rFonts w:ascii="Times New Roman" w:hAnsi="Times New Roman" w:eastAsia="Times New Roman" w:cs="Times New Roman"/>
          <w:sz w:val="24"/>
          <w:szCs w:val="24"/>
        </w:rPr>
      </w:pPr>
      <w:r>
        <w:rPr>
          <w:rFonts w:eastAsia="Times New Roman" w:cs="Times New Roman" w:ascii="Times New Roman" w:hAnsi="Times New Roman"/>
          <w:sz w:val="24"/>
          <w:szCs w:val="24"/>
        </w:rPr>
        <w:t>REFERENCES:</w:t>
      </w:r>
    </w:p>
    <w:p>
      <w:pPr>
        <w:pStyle w:val="Normal1"/>
        <w:pBdr/>
        <w:shd w:val="clear" w:fill="FFFFFF"/>
        <w:spacing w:lineRule="auto" w:line="240"/>
        <w:ind w:left="384" w:hanging="0"/>
        <w:rPr>
          <w:rFonts w:ascii="Times New Roman" w:hAnsi="Times New Roman" w:eastAsia="Times New Roman" w:cs="Times New Roman"/>
          <w:sz w:val="24"/>
          <w:szCs w:val="24"/>
        </w:rPr>
      </w:pPr>
      <w:hyperlink r:id="rId7">
        <w:r>
          <w:rPr>
            <w:rFonts w:eastAsia="Times New Roman" w:cs="Times New Roman" w:ascii="Times New Roman" w:hAnsi="Times New Roman"/>
            <w:sz w:val="24"/>
            <w:szCs w:val="24"/>
          </w:rPr>
          <w:t xml:space="preserve">1. </w:t>
          <w:tab/>
          <w:t>Li H. Aligning sequence reads, clone sequences and assembly contigs with BWA-MEM [Internet]. arXiv; 2013 May [cited 2022 May 25]. Report No.: arXiv:1303.3997. Available from: http://arxiv.org/abs/1303.3997</w:t>
        </w:r>
      </w:hyperlink>
    </w:p>
    <w:p>
      <w:pPr>
        <w:pStyle w:val="Normal1"/>
        <w:widowControl w:val="false"/>
        <w:spacing w:lineRule="auto" w:line="240"/>
        <w:ind w:left="384" w:hanging="0"/>
        <w:rPr>
          <w:rFonts w:ascii="Times New Roman" w:hAnsi="Times New Roman" w:eastAsia="Times New Roman" w:cs="Times New Roman"/>
          <w:sz w:val="24"/>
          <w:szCs w:val="24"/>
        </w:rPr>
      </w:pPr>
      <w:hyperlink r:id="rId8">
        <w:r>
          <w:rPr>
            <w:rFonts w:eastAsia="Times New Roman" w:cs="Times New Roman" w:ascii="Times New Roman" w:hAnsi="Times New Roman"/>
            <w:sz w:val="24"/>
            <w:szCs w:val="24"/>
          </w:rPr>
          <w:t xml:space="preserve">2. </w:t>
          <w:tab/>
          <w:t>Grubaugh ND, Gangavarapu K, Quick J, Matteson NL, De Jesus JG, Main BJ, et al. An amplicon-based sequencing framework for accurately measuring intrahost virus diversity using PrimalSeq and iVar. Genome Biol. 2019 Jan 8;20(1):8.</w:t>
        </w:r>
      </w:hyperlink>
    </w:p>
    <w:p>
      <w:pPr>
        <w:pStyle w:val="Normal1"/>
        <w:widowControl w:val="false"/>
        <w:spacing w:lineRule="auto" w:line="240"/>
        <w:ind w:left="384" w:hanging="0"/>
        <w:rPr>
          <w:rFonts w:ascii="Times New Roman" w:hAnsi="Times New Roman" w:eastAsia="Times New Roman" w:cs="Times New Roman"/>
          <w:sz w:val="24"/>
          <w:szCs w:val="24"/>
        </w:rPr>
      </w:pPr>
      <w:hyperlink r:id="rId9">
        <w:r>
          <w:rPr>
            <w:rFonts w:eastAsia="Times New Roman" w:cs="Times New Roman" w:ascii="Times New Roman" w:hAnsi="Times New Roman"/>
            <w:sz w:val="24"/>
            <w:szCs w:val="24"/>
          </w:rPr>
          <w:t xml:space="preserve">3. </w:t>
          <w:tab/>
          <w:t>Andrews S. FastQC: a quality control tool for high throughput sequence data. 2010;</w:t>
        </w:r>
      </w:hyperlink>
    </w:p>
    <w:p>
      <w:pPr>
        <w:pStyle w:val="Normal1"/>
        <w:jc w:val="both"/>
        <w:rPr>
          <w:rFonts w:ascii="Tahoma" w:hAnsi="Tahoma" w:eastAsia="Tahoma" w:cs="Tahoma"/>
          <w:sz w:val="20"/>
          <w:szCs w:val="20"/>
        </w:rPr>
      </w:pPr>
      <w:r>
        <w:rPr/>
      </w:r>
    </w:p>
    <w:sectPr>
      <w:type w:val="nextPage"/>
      <w:pgSz w:w="11906" w:h="16838"/>
      <w:pgMar w:left="1440" w:right="1440" w:header="0" w:top="1440" w:footer="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 w:name="Tahoma">
    <w:charset w:val="00"/>
    <w:family w:val="roman"/>
    <w:pitch w:val="variable"/>
  </w:font>
</w:fonts>
</file>

<file path=word/settings.xml><?xml version="1.0" encoding="utf-8"?>
<w:settings xmlns:w="http://schemas.openxmlformats.org/wordprocessingml/2006/main">
  <w:zoom w:percent="12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Ttulo1">
    <w:name w:val="Heading 1"/>
    <w:basedOn w:val="Normal1"/>
    <w:next w:val="Normal1"/>
    <w:qFormat/>
    <w:pPr>
      <w:keepNext w:val="true"/>
      <w:keepLines/>
      <w:pageBreakBefore w:val="false"/>
      <w:spacing w:lineRule="auto" w:line="240" w:before="400" w:after="120"/>
    </w:pPr>
    <w:rPr>
      <w:sz w:val="40"/>
      <w:szCs w:val="40"/>
    </w:rPr>
  </w:style>
  <w:style w:type="paragraph" w:styleId="Ttulo2">
    <w:name w:val="Heading 2"/>
    <w:basedOn w:val="Normal1"/>
    <w:next w:val="Normal1"/>
    <w:qFormat/>
    <w:pPr>
      <w:keepNext w:val="true"/>
      <w:keepLines/>
      <w:pageBreakBefore w:val="false"/>
      <w:spacing w:lineRule="auto" w:line="240" w:before="360" w:after="120"/>
    </w:pPr>
    <w:rPr>
      <w:b w:val="false"/>
      <w:sz w:val="32"/>
      <w:szCs w:val="32"/>
    </w:rPr>
  </w:style>
  <w:style w:type="paragraph" w:styleId="Ttulo3">
    <w:name w:val="Heading 3"/>
    <w:basedOn w:val="Normal1"/>
    <w:next w:val="Normal1"/>
    <w:qFormat/>
    <w:pPr>
      <w:keepNext w:val="true"/>
      <w:keepLines/>
      <w:pageBreakBefore w:val="false"/>
      <w:spacing w:lineRule="auto" w:line="240" w:before="320" w:after="80"/>
    </w:pPr>
    <w:rPr>
      <w:b w:val="false"/>
      <w:color w:val="434343"/>
      <w:sz w:val="28"/>
      <w:szCs w:val="28"/>
    </w:rPr>
  </w:style>
  <w:style w:type="paragraph" w:styleId="Ttulo4">
    <w:name w:val="Heading 4"/>
    <w:basedOn w:val="Normal1"/>
    <w:next w:val="Normal1"/>
    <w:qFormat/>
    <w:pPr>
      <w:keepNext w:val="true"/>
      <w:keepLines/>
      <w:pageBreakBefore w:val="false"/>
      <w:spacing w:lineRule="auto" w:line="240" w:before="280" w:after="80"/>
    </w:pPr>
    <w:rPr>
      <w:color w:val="666666"/>
      <w:sz w:val="24"/>
      <w:szCs w:val="24"/>
    </w:rPr>
  </w:style>
  <w:style w:type="paragraph" w:styleId="Ttulo5">
    <w:name w:val="Heading 5"/>
    <w:basedOn w:val="Normal1"/>
    <w:next w:val="Normal1"/>
    <w:qFormat/>
    <w:pPr>
      <w:keepNext w:val="true"/>
      <w:keepLines/>
      <w:pageBreakBefore w:val="false"/>
      <w:spacing w:lineRule="auto" w:line="240" w:before="240" w:after="80"/>
    </w:pPr>
    <w:rPr>
      <w:color w:val="666666"/>
      <w:sz w:val="22"/>
      <w:szCs w:val="22"/>
    </w:rPr>
  </w:style>
  <w:style w:type="paragraph" w:styleId="Ttulo6">
    <w:name w:val="Heading 6"/>
    <w:basedOn w:val="Normal1"/>
    <w:next w:val="Normal1"/>
    <w:qFormat/>
    <w:pPr>
      <w:keepNext w:val="true"/>
      <w:keepLines/>
      <w:pageBreakBefore w:val="false"/>
      <w:spacing w:lineRule="auto" w:line="240" w:before="240" w:after="80"/>
    </w:pPr>
    <w:rPr>
      <w:i/>
      <w:color w:val="666666"/>
      <w:sz w:val="22"/>
      <w:szCs w:val="22"/>
    </w:rPr>
  </w:style>
  <w:style w:type="character" w:styleId="EnlacedeInternet">
    <w:name w:val="Enlace de Internet"/>
    <w:rPr>
      <w:color w:val="000080"/>
      <w:u w:val="single"/>
      <w:lang w:val="zxx" w:eastAsia="zxx" w:bidi="zxx"/>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Normal1" w:default="1">
    <w:name w:val="LO-normal"/>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Ttulogeneral">
    <w:name w:val="Title"/>
    <w:basedOn w:val="Normal1"/>
    <w:next w:val="Normal1"/>
    <w:qFormat/>
    <w:pPr>
      <w:keepNext w:val="true"/>
      <w:keepLines/>
      <w:pageBreakBefore w:val="false"/>
      <w:spacing w:lineRule="auto" w:line="240" w:before="0" w:after="60"/>
    </w:pPr>
    <w:rPr>
      <w:sz w:val="52"/>
      <w:szCs w:val="52"/>
    </w:rPr>
  </w:style>
  <w:style w:type="paragraph" w:styleId="Subttulo">
    <w:name w:val="Subtitle"/>
    <w:basedOn w:val="Normal1"/>
    <w:next w:val="Normal1"/>
    <w:qFormat/>
    <w:pPr>
      <w:keepNext w:val="true"/>
      <w:keepLines/>
      <w:pageBreakBefore w:val="false"/>
      <w:spacing w:lineRule="auto" w:line="240" w:before="0" w:after="320"/>
    </w:pPr>
    <w:rPr>
      <w:rFonts w:ascii="Arial" w:hAnsi="Arial" w:eastAsia="Arial" w:cs="Arial"/>
      <w:i w:val="false"/>
      <w:color w:val="666666"/>
      <w:sz w:val="30"/>
      <w:szCs w:val="30"/>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www.zotero.org/google-docs/?rCOeKL" TargetMode="External"/><Relationship Id="rId4" Type="http://schemas.openxmlformats.org/officeDocument/2006/relationships/hyperlink" Target="https://www.zotero.org/google-docs/?i0ru45" TargetMode="External"/><Relationship Id="rId5" Type="http://schemas.openxmlformats.org/officeDocument/2006/relationships/hyperlink" Target="https://clades.nextstrain.org/" TargetMode="External"/><Relationship Id="rId6" Type="http://schemas.openxmlformats.org/officeDocument/2006/relationships/hyperlink" Target="https://www.zotero.org/google-docs/?UgWvCd" TargetMode="External"/><Relationship Id="rId7" Type="http://schemas.openxmlformats.org/officeDocument/2006/relationships/hyperlink" Target="https://www.zotero.org/google-docs/?D6Xufz" TargetMode="External"/><Relationship Id="rId8" Type="http://schemas.openxmlformats.org/officeDocument/2006/relationships/hyperlink" Target="https://www.zotero.org/google-docs/?D6Xufz" TargetMode="External"/><Relationship Id="rId9" Type="http://schemas.openxmlformats.org/officeDocument/2006/relationships/hyperlink" Target="https://www.zotero.org/google-docs/?D6Xufz" TargetMode="Externa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LibreOffice/7.1.7.2$Windows_x86 LibreOffice_project/c6a4e3954236145e2acb0b65f68614365aeee33f</Application>
  <AppVersion>15.0000</AppVersion>
  <Pages>6</Pages>
  <Words>512</Words>
  <Characters>3089</Characters>
  <CharactersWithSpaces>3539</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cp:revision>0</cp:revision>
  <dc:subject/>
  <dc:title/>
</cp:coreProperties>
</file>