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389D" w14:textId="77777777" w:rsidR="00EC2E32" w:rsidRPr="00085CAF" w:rsidRDefault="002E739C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>Supplemental Material</w:t>
      </w:r>
    </w:p>
    <w:p w14:paraId="6942B3C7" w14:textId="77777777" w:rsidR="00EC2E32" w:rsidRPr="00085CAF" w:rsidRDefault="00EC2E32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Cs w:val="20"/>
        </w:rPr>
      </w:pPr>
    </w:p>
    <w:p w14:paraId="17761FE1" w14:textId="7FAE2CC8" w:rsidR="00663A6A" w:rsidRDefault="00CD1CE3" w:rsidP="00663A6A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b/>
          <w:i/>
          <w:iCs/>
          <w:color w:val="auto"/>
          <w:szCs w:val="20"/>
        </w:rPr>
      </w:pPr>
      <w:r w:rsidRPr="00CD1CE3">
        <w:rPr>
          <w:rFonts w:ascii="Times New Roman" w:eastAsiaTheme="minorEastAsia" w:hAnsi="Times New Roman" w:cs="Times New Roman"/>
          <w:b/>
          <w:i/>
          <w:iCs/>
          <w:color w:val="auto"/>
          <w:szCs w:val="20"/>
        </w:rPr>
        <w:t>Early Initiation of Renal Replacement Therapy in Intensive Care Unit Patients with Acute Respiratory Distress Syndrome and Sepsis with or without Renal Failure: A Retrospective Cohort Study Based on Propensity Score Matching</w:t>
      </w:r>
    </w:p>
    <w:p w14:paraId="57F8E44C" w14:textId="77777777" w:rsidR="00CD1CE3" w:rsidRPr="00085CAF" w:rsidRDefault="00CD1CE3" w:rsidP="00663A6A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</w:p>
    <w:p w14:paraId="3176287B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 xml:space="preserve">Content of Supplemental Material    </w:t>
      </w:r>
    </w:p>
    <w:p w14:paraId="1CFBD6BE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>Supplemental Table</w:t>
      </w:r>
    </w:p>
    <w:p w14:paraId="046A0B9F" w14:textId="77777777" w:rsidR="00EC2E32" w:rsidRPr="00085CAF" w:rsidRDefault="002E739C" w:rsidP="00545F3E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1. </w:t>
      </w:r>
      <w:r w:rsidRPr="00085CAF">
        <w:rPr>
          <w:rFonts w:ascii="Times New Roman" w:hAnsi="Times New Roman" w:cs="Times New Roman"/>
          <w:color w:val="auto"/>
          <w:szCs w:val="20"/>
        </w:rPr>
        <w:t>Definition of study variables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.</w:t>
      </w:r>
    </w:p>
    <w:p w14:paraId="734C8902" w14:textId="77777777" w:rsidR="00EC2E32" w:rsidRPr="00085CAF" w:rsidRDefault="002E739C" w:rsidP="00545F3E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2. </w:t>
      </w:r>
      <w:r w:rsidRPr="00085CAF">
        <w:rPr>
          <w:rFonts w:ascii="Times New Roman" w:hAnsi="Times New Roman" w:cs="Times New Roman"/>
          <w:color w:val="auto"/>
          <w:szCs w:val="20"/>
        </w:rPr>
        <w:t>Missing rates of study variables.</w:t>
      </w:r>
    </w:p>
    <w:p w14:paraId="6D875A51" w14:textId="7CA0C9DC" w:rsidR="00545F3E" w:rsidRDefault="00545F3E" w:rsidP="00545F3E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Supplemental Table 3. 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Baseline characteristics between patients </w:t>
      </w:r>
      <w:r>
        <w:rPr>
          <w:rFonts w:ascii="Times New Roman" w:eastAsiaTheme="minorEastAsia" w:hAnsi="Times New Roman" w:cs="Times New Roman"/>
          <w:color w:val="auto"/>
          <w:szCs w:val="20"/>
        </w:rPr>
        <w:t>with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early </w:t>
      </w:r>
      <w:r>
        <w:rPr>
          <w:rFonts w:ascii="Times New Roman" w:eastAsiaTheme="minorEastAsia" w:hAnsi="Times New Roman" w:cs="Times New Roman"/>
          <w:color w:val="auto"/>
          <w:szCs w:val="20"/>
        </w:rPr>
        <w:t>RRT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  <w:proofErr w:type="spellStart"/>
      <w:r w:rsidRPr="00D11208">
        <w:rPr>
          <w:rFonts w:ascii="Times New Roman" w:eastAsiaTheme="minorEastAsia" w:hAnsi="Times New Roman" w:cs="Times New Roman"/>
          <w:color w:val="auto"/>
          <w:szCs w:val="20"/>
        </w:rPr>
        <w:t>v.s</w:t>
      </w:r>
      <w:proofErr w:type="spellEnd"/>
      <w:r w:rsidRPr="00D11208">
        <w:rPr>
          <w:rFonts w:ascii="Times New Roman" w:eastAsiaTheme="minorEastAsia" w:hAnsi="Times New Roman" w:cs="Times New Roman"/>
          <w:color w:val="auto"/>
          <w:szCs w:val="20"/>
        </w:rPr>
        <w:t>. no</w:t>
      </w:r>
      <w:r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early </w:t>
      </w:r>
      <w:r>
        <w:rPr>
          <w:rFonts w:ascii="Times New Roman" w:eastAsiaTheme="minorEastAsia" w:hAnsi="Times New Roman" w:cs="Times New Roman"/>
          <w:color w:val="auto"/>
          <w:szCs w:val="20"/>
        </w:rPr>
        <w:t>RRT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before </w:t>
      </w:r>
      <w:r>
        <w:rPr>
          <w:rFonts w:ascii="Times New Roman" w:eastAsiaTheme="minorEastAsia" w:hAnsi="Times New Roman" w:cs="Times New Roman"/>
          <w:color w:val="auto"/>
          <w:szCs w:val="20"/>
        </w:rPr>
        <w:t>PSM</w:t>
      </w:r>
      <w:r w:rsidRPr="00D11208">
        <w:rPr>
          <w:rFonts w:ascii="Times New Roman" w:eastAsiaTheme="minorEastAsia" w:hAnsi="Times New Roman" w:cs="Times New Roman"/>
          <w:color w:val="auto"/>
          <w:szCs w:val="20"/>
        </w:rPr>
        <w:t>.</w:t>
      </w:r>
    </w:p>
    <w:p w14:paraId="62ACB390" w14:textId="77777777" w:rsidR="00545F3E" w:rsidRDefault="00545F3E" w:rsidP="00545F3E">
      <w:pPr>
        <w:spacing w:after="0" w:line="360" w:lineRule="auto"/>
        <w:ind w:left="0" w:firstLine="0"/>
        <w:rPr>
          <w:rFonts w:ascii="Times New Roman" w:eastAsia="宋体" w:hAnsi="Times New Roman" w:cs="Times New Roman"/>
          <w:color w:val="auto"/>
          <w:szCs w:val="20"/>
        </w:rPr>
      </w:pPr>
      <w:r w:rsidRPr="001E5D7A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Supplemental Table </w:t>
      </w:r>
      <w:r>
        <w:rPr>
          <w:rFonts w:ascii="Times New Roman" w:eastAsia="宋体" w:hAnsi="Times New Roman" w:cs="Times New Roman"/>
          <w:b/>
          <w:bCs/>
          <w:color w:val="auto"/>
          <w:szCs w:val="20"/>
        </w:rPr>
        <w:t>4</w:t>
      </w:r>
      <w:r w:rsidRPr="001E5D7A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. </w:t>
      </w:r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Baseline characteristics between patients with early RRT </w:t>
      </w:r>
      <w:proofErr w:type="spellStart"/>
      <w:r w:rsidRPr="001E5D7A">
        <w:rPr>
          <w:rFonts w:ascii="Times New Roman" w:eastAsia="宋体" w:hAnsi="Times New Roman" w:cs="Times New Roman"/>
          <w:color w:val="auto"/>
          <w:szCs w:val="20"/>
        </w:rPr>
        <w:t>v.s</w:t>
      </w:r>
      <w:proofErr w:type="spellEnd"/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. no early RRT </w:t>
      </w:r>
      <w:r>
        <w:rPr>
          <w:rFonts w:ascii="Times New Roman" w:eastAsia="宋体" w:hAnsi="Times New Roman" w:cs="Times New Roman"/>
          <w:color w:val="auto"/>
          <w:szCs w:val="20"/>
        </w:rPr>
        <w:t>after</w:t>
      </w:r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 PSM with a maximal matching ratio of 1-to-2</w:t>
      </w:r>
      <w:r>
        <w:rPr>
          <w:rFonts w:ascii="Times New Roman" w:eastAsia="宋体" w:hAnsi="Times New Roman" w:cs="Times New Roman"/>
          <w:color w:val="auto"/>
          <w:szCs w:val="20"/>
        </w:rPr>
        <w:t>.</w:t>
      </w:r>
    </w:p>
    <w:p w14:paraId="71CE4478" w14:textId="77777777" w:rsidR="00EC2E32" w:rsidRPr="00545F3E" w:rsidRDefault="00EC2E32" w:rsidP="00545F3E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</w:p>
    <w:p w14:paraId="1125B678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>Supplemental Figure</w:t>
      </w:r>
    </w:p>
    <w:p w14:paraId="6CC92A33" w14:textId="45398E29" w:rsidR="00912758" w:rsidRDefault="00912758" w:rsidP="00545F3E">
      <w:pPr>
        <w:widowControl w:val="0"/>
        <w:spacing w:after="0" w:line="360" w:lineRule="auto"/>
        <w:ind w:left="0" w:firstLine="0"/>
        <w:rPr>
          <w:rFonts w:ascii="Times New Roman" w:hAnsi="Times New Roman" w:cs="Times New Roman"/>
          <w:color w:val="auto"/>
          <w:szCs w:val="20"/>
        </w:rPr>
      </w:pPr>
      <w:r w:rsidRPr="00545F3E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Figure </w:t>
      </w:r>
      <w:r>
        <w:rPr>
          <w:rFonts w:ascii="Times New Roman" w:hAnsi="Times New Roman" w:cs="Times New Roman"/>
          <w:b/>
          <w:bCs/>
          <w:color w:val="auto"/>
          <w:szCs w:val="20"/>
        </w:rPr>
        <w:t>1</w:t>
      </w:r>
      <w:r w:rsidRPr="00545F3E">
        <w:rPr>
          <w:rFonts w:ascii="Times New Roman" w:hAnsi="Times New Roman" w:cs="Times New Roman"/>
          <w:b/>
          <w:bCs/>
          <w:color w:val="auto"/>
          <w:szCs w:val="20"/>
        </w:rPr>
        <w:t xml:space="preserve">. </w:t>
      </w:r>
      <w:r w:rsidRPr="00545F3E">
        <w:rPr>
          <w:rFonts w:ascii="Times New Roman" w:hAnsi="Times New Roman" w:cs="Times New Roman"/>
          <w:color w:val="auto"/>
          <w:szCs w:val="20"/>
        </w:rPr>
        <w:t>Forest plot of the sensitivity and subgroup analysis for 90-day mortality.</w:t>
      </w:r>
    </w:p>
    <w:p w14:paraId="2EE5B192" w14:textId="0EB82BBA" w:rsidR="00545F3E" w:rsidRPr="00545F3E" w:rsidRDefault="00545F3E" w:rsidP="00545F3E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auto"/>
          <w:szCs w:val="20"/>
        </w:rPr>
      </w:pPr>
      <w:r w:rsidRPr="00545F3E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Figure </w:t>
      </w:r>
      <w:r w:rsidR="00912758">
        <w:rPr>
          <w:rFonts w:ascii="Times New Roman" w:hAnsi="Times New Roman" w:cs="Times New Roman"/>
          <w:b/>
          <w:bCs/>
          <w:color w:val="auto"/>
          <w:szCs w:val="20"/>
        </w:rPr>
        <w:t>2</w:t>
      </w:r>
      <w:r w:rsidRPr="00545F3E">
        <w:rPr>
          <w:rFonts w:ascii="Times New Roman" w:hAnsi="Times New Roman" w:cs="Times New Roman"/>
          <w:b/>
          <w:bCs/>
          <w:color w:val="auto"/>
          <w:szCs w:val="20"/>
        </w:rPr>
        <w:t xml:space="preserve">. </w:t>
      </w:r>
      <w:r w:rsidRPr="00545F3E">
        <w:rPr>
          <w:rFonts w:ascii="Times New Roman" w:hAnsi="Times New Roman" w:cs="Times New Roman"/>
          <w:color w:val="auto"/>
          <w:szCs w:val="20"/>
        </w:rPr>
        <w:t xml:space="preserve">A love plot illustrating the covariate balance before and after PSM with a maximal matching ratio of 1-to-2. </w:t>
      </w:r>
    </w:p>
    <w:p w14:paraId="07B0B6FA" w14:textId="652965EE" w:rsidR="00EC2E32" w:rsidRPr="00085CAF" w:rsidRDefault="004364D5" w:rsidP="00545F3E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color w:val="auto"/>
          <w:szCs w:val="20"/>
        </w:rPr>
        <w:br w:type="page"/>
      </w:r>
    </w:p>
    <w:p w14:paraId="1AFC5A09" w14:textId="1FEA85B6" w:rsidR="00EC2E32" w:rsidRPr="00085CAF" w:rsidRDefault="002E739C">
      <w:pPr>
        <w:pStyle w:val="af3"/>
        <w:spacing w:after="0" w:line="360" w:lineRule="auto"/>
        <w:jc w:val="center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lastRenderedPageBreak/>
        <w:t xml:space="preserve">Supplemental Table 1. </w:t>
      </w:r>
      <w:r w:rsidRPr="00085CAF">
        <w:rPr>
          <w:rFonts w:ascii="Times New Roman" w:hAnsi="Times New Roman" w:cs="Times New Roman"/>
          <w:color w:val="auto"/>
          <w:szCs w:val="20"/>
        </w:rPr>
        <w:t>Definition of study variables.</w:t>
      </w:r>
    </w:p>
    <w:tbl>
      <w:tblPr>
        <w:tblW w:w="9996" w:type="dxa"/>
        <w:jc w:val="center"/>
        <w:tblLook w:val="04A0" w:firstRow="1" w:lastRow="0" w:firstColumn="1" w:lastColumn="0" w:noHBand="0" w:noVBand="1"/>
      </w:tblPr>
      <w:tblGrid>
        <w:gridCol w:w="1909"/>
        <w:gridCol w:w="4957"/>
        <w:gridCol w:w="3130"/>
      </w:tblGrid>
      <w:tr w:rsidR="000E3BEE" w:rsidRPr="00085CAF" w14:paraId="2DFEE2D9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448ABF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Variables</w:t>
            </w:r>
          </w:p>
        </w:tc>
        <w:tc>
          <w:tcPr>
            <w:tcW w:w="49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8B7C5B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Definition</w:t>
            </w: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2E8706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Continuous/Categorical/Binary</w:t>
            </w:r>
          </w:p>
        </w:tc>
      </w:tr>
      <w:tr w:rsidR="000E3BEE" w:rsidRPr="00085CAF" w14:paraId="1BF72E08" w14:textId="77777777" w:rsidTr="001E5D7A">
        <w:trPr>
          <w:trHeight w:val="186"/>
          <w:jc w:val="center"/>
        </w:trPr>
        <w:tc>
          <w:tcPr>
            <w:tcW w:w="99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651675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</w:tr>
      <w:tr w:rsidR="000E3BEE" w:rsidRPr="00085CAF" w14:paraId="080B7CBA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ADBB2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Age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F2981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Years after birth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C2B0F5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2D0121C0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BC974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Sex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036E7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Female and Male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B244AB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Female/Male</w:t>
            </w:r>
          </w:p>
        </w:tc>
      </w:tr>
      <w:tr w:rsidR="000E3BEE" w:rsidRPr="00085CAF" w14:paraId="691FAD76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F787D1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C64D4D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346405A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E3BEE" w:rsidRPr="00085CAF" w14:paraId="05DD12BD" w14:textId="77777777" w:rsidTr="001E5D7A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4E6FF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Hypertension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2955DA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use of medications to control blood pressure or previously measured SBP ≥140mmHg or DBP ≥90mmHg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CF7C36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12948B38" w14:textId="77777777" w:rsidTr="001E5D7A">
        <w:trPr>
          <w:trHeight w:val="498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249E8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Diabetes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E2478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use of medications/lifestyle intervention to control blood glucose or physician-diagnosed type 2 diabetes mellitus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DFFA5D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2EAC7E84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AD971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CAD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8B477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CAD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40A952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23F70E54" w14:textId="77777777" w:rsidTr="001E5D7A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7E4B9F" w14:textId="4AF4FE38" w:rsidR="000E3BEE" w:rsidRPr="00085CAF" w:rsidRDefault="00CD1CE3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I</w:t>
            </w:r>
            <w:r w:rsidRPr="00CD1CE3">
              <w:rPr>
                <w:rFonts w:ascii="Times New Roman" w:eastAsia="等线" w:hAnsi="Times New Roman" w:cs="Times New Roman"/>
                <w:kern w:val="0"/>
                <w:szCs w:val="20"/>
              </w:rPr>
              <w:t>schemic stroke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27D90B" w14:textId="33C98CF3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ischemic stroke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BE635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4A223DB2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3ECF1C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Cancer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19C380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Cancer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1EEACA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5436C5F3" w14:textId="77777777" w:rsidTr="001E5D7A">
        <w:trPr>
          <w:trHeight w:val="186"/>
          <w:jc w:val="center"/>
        </w:trPr>
        <w:tc>
          <w:tcPr>
            <w:tcW w:w="99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EA5A85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On-admission clinical characteristics</w:t>
            </w:r>
          </w:p>
        </w:tc>
      </w:tr>
      <w:tr w:rsidR="000E3BEE" w:rsidRPr="00085CAF" w14:paraId="4DF71469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54E0A8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3B5DA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 measured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84BA98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7717F106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D6ED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4F895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 measured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55CFF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517B1A64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865928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1743F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 measured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988035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beats per minute</w:t>
            </w:r>
          </w:p>
        </w:tc>
      </w:tr>
      <w:tr w:rsidR="000E3BEE" w:rsidRPr="00085CAF" w14:paraId="1BD34F51" w14:textId="77777777" w:rsidTr="001E5D7A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B03D73" w14:textId="77460FEF" w:rsidR="000E3BEE" w:rsidRPr="00085CAF" w:rsidRDefault="00CD1CE3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S</w:t>
            </w:r>
            <w:r w:rsidRPr="00CD1CE3">
              <w:rPr>
                <w:rFonts w:ascii="Times New Roman" w:eastAsia="等线" w:hAnsi="Times New Roman" w:cs="Times New Roman"/>
                <w:kern w:val="0"/>
                <w:szCs w:val="20"/>
              </w:rPr>
              <w:t>erum creatinine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325DC9" w14:textId="4159F23F" w:rsidR="000E3BEE" w:rsidRPr="00085CAF" w:rsidRDefault="00CD1CE3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CD1CE3">
              <w:rPr>
                <w:rFonts w:ascii="Times New Roman" w:eastAsia="等线" w:hAnsi="Times New Roman" w:cs="Times New Roman"/>
                <w:kern w:val="0"/>
                <w:szCs w:val="20"/>
              </w:rPr>
              <w:t>Serum creatinine measured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44CF58" w14:textId="79E00BF8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</w:t>
            </w:r>
            <w:r w:rsidR="00CD1CE3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="00CD1CE3">
              <w:rPr>
                <w:rFonts w:ascii="Times New Roman" w:eastAsia="等线" w:hAnsi="Times New Roman" w:cs="Times New Roman" w:hint="eastAsia"/>
                <w:kern w:val="0"/>
                <w:szCs w:val="20"/>
              </w:rPr>
              <w:t>umol</w:t>
            </w:r>
            <w:proofErr w:type="spellEnd"/>
            <w:r w:rsidR="00CD1CE3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</w:tr>
      <w:tr w:rsidR="000E3BEE" w:rsidRPr="00085CAF" w14:paraId="5C5EFAA3" w14:textId="77777777" w:rsidTr="001E5D7A">
        <w:trPr>
          <w:trHeight w:val="35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7633E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Oxygenation index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B1EBF3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The ratio of PaO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2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to FiO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2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was obtained by arterial blood gas analysis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B5AA9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35A4226C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C2227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GCS score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B22F7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GCS score evaluated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D3AD1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03CACD81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DA50A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53EE7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 evaluated on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EFBA4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15E910FE" w14:textId="77777777" w:rsidTr="001E5D7A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63A83D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DDF940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Surgical procedures in the first 24 h of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53DFB93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022BED02" w14:textId="77777777" w:rsidTr="001E5D7A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93DAAE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DD23676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 during the entire ICU stays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4801ED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53CD7FD9" w14:textId="77777777" w:rsidTr="001E5D7A">
        <w:trPr>
          <w:trHeight w:val="186"/>
          <w:jc w:val="center"/>
        </w:trPr>
        <w:tc>
          <w:tcPr>
            <w:tcW w:w="99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A30237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0E3BEE" w:rsidRPr="00085CAF" w14:paraId="06FB76A8" w14:textId="77777777" w:rsidTr="001E5D7A">
        <w:trPr>
          <w:trHeight w:val="186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AE7CB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Antibiotics 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F3BDB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Antibiotics use within 24h after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C10C24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1DE06D4" w14:textId="77777777" w:rsidTr="001E5D7A">
        <w:trPr>
          <w:trHeight w:val="498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03B9A2" w14:textId="00C74684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Sedative</w:t>
            </w:r>
            <w:r w:rsidR="00CD1CE3">
              <w:rPr>
                <w:rFonts w:ascii="Times New Roman" w:eastAsia="等线" w:hAnsi="Times New Roman" w:cs="Times New Roman" w:hint="eastAsia"/>
                <w:kern w:val="0"/>
                <w:szCs w:val="20"/>
              </w:rPr>
              <w:t>/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analgesic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F57B4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 use within 24h after admission (including: propofol, dexmedetomidine, midazolam, opioids etc.)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883821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4FEDBF3" w14:textId="77777777" w:rsidTr="000E6456">
        <w:trPr>
          <w:trHeight w:val="334"/>
          <w:jc w:val="center"/>
        </w:trPr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67FA5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FD113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 (norepinephrine/dopamine) use within 24h after admission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892FE2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DD68D9E" w14:textId="77777777" w:rsidTr="000E6456">
        <w:trPr>
          <w:trHeight w:val="498"/>
          <w:jc w:val="center"/>
        </w:trPr>
        <w:tc>
          <w:tcPr>
            <w:tcW w:w="190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048D4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transfusions</w:t>
            </w:r>
          </w:p>
        </w:tc>
        <w:tc>
          <w:tcPr>
            <w:tcW w:w="4957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4FA76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Blood component transfusions (red cells, platelets, plasma, </w:t>
            </w:r>
            <w:proofErr w:type="spellStart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cryoprecipitated</w:t>
            </w:r>
            <w:proofErr w:type="spellEnd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AHF, and granulocytes) use within 24h after admission</w:t>
            </w:r>
          </w:p>
        </w:tc>
        <w:tc>
          <w:tcPr>
            <w:tcW w:w="312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78E6C1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</w:tbl>
    <w:p w14:paraId="26111727" w14:textId="291C5DE8" w:rsidR="00EC2E32" w:rsidRPr="00085CAF" w:rsidRDefault="002E739C" w:rsidP="004364D5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Abbreviations: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DBP, diastolic blood pressure; GCS, Glasgow Coma Scale; SBP, systolic blood pressure; SOFA, Sequential Organ Failure Assessment.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br w:type="page"/>
      </w:r>
    </w:p>
    <w:p w14:paraId="78B1E957" w14:textId="69CDC4FB" w:rsidR="00EC2E32" w:rsidRPr="00085CAF" w:rsidRDefault="002E739C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bookmarkStart w:id="0" w:name="_Hlk92721690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2.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Missing rates of study variables.</w:t>
      </w:r>
    </w:p>
    <w:tbl>
      <w:tblPr>
        <w:tblW w:w="6268" w:type="dxa"/>
        <w:jc w:val="center"/>
        <w:tblLook w:val="04A0" w:firstRow="1" w:lastRow="0" w:firstColumn="1" w:lastColumn="0" w:noHBand="0" w:noVBand="1"/>
      </w:tblPr>
      <w:tblGrid>
        <w:gridCol w:w="3565"/>
        <w:gridCol w:w="2703"/>
      </w:tblGrid>
      <w:tr w:rsidR="007C064C" w:rsidRPr="00085CAF" w14:paraId="27EDE27E" w14:textId="77777777" w:rsidTr="001E5D7A">
        <w:trPr>
          <w:trHeight w:val="368"/>
          <w:jc w:val="center"/>
        </w:trPr>
        <w:tc>
          <w:tcPr>
            <w:tcW w:w="35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0BD7AA5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Variables</w:t>
            </w:r>
          </w:p>
        </w:tc>
        <w:tc>
          <w:tcPr>
            <w:tcW w:w="27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4360350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Missing, N (%) </w:t>
            </w:r>
          </w:p>
          <w:p w14:paraId="6BAEB1F5" w14:textId="2729CD62" w:rsidR="007C064C" w:rsidRPr="00085CAF" w:rsidRDefault="007C064C" w:rsidP="007C064C">
            <w:pPr>
              <w:spacing w:after="0" w:line="240" w:lineRule="auto"/>
              <w:ind w:left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n=762</w:t>
            </w:r>
          </w:p>
        </w:tc>
      </w:tr>
      <w:tr w:rsidR="007C064C" w:rsidRPr="00085CAF" w14:paraId="52428121" w14:textId="77777777" w:rsidTr="001E5D7A">
        <w:trPr>
          <w:trHeight w:val="137"/>
          <w:jc w:val="center"/>
        </w:trPr>
        <w:tc>
          <w:tcPr>
            <w:tcW w:w="35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5B51F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intake</w:t>
            </w:r>
          </w:p>
        </w:tc>
        <w:tc>
          <w:tcPr>
            <w:tcW w:w="27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6455F6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(0.39)</w:t>
            </w:r>
          </w:p>
        </w:tc>
      </w:tr>
      <w:tr w:rsidR="007C064C" w:rsidRPr="00085CAF" w14:paraId="70421E2E" w14:textId="77777777" w:rsidTr="000E6456">
        <w:trPr>
          <w:trHeight w:val="137"/>
          <w:jc w:val="center"/>
        </w:trPr>
        <w:tc>
          <w:tcPr>
            <w:tcW w:w="3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60A2C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outtake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50C92B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(0.39)</w:t>
            </w:r>
          </w:p>
        </w:tc>
      </w:tr>
      <w:tr w:rsidR="007C064C" w:rsidRPr="00085CAF" w14:paraId="0E033E26" w14:textId="77777777" w:rsidTr="000E6456">
        <w:trPr>
          <w:trHeight w:val="246"/>
          <w:jc w:val="center"/>
        </w:trPr>
        <w:tc>
          <w:tcPr>
            <w:tcW w:w="356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38CC75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</w:t>
            </w:r>
          </w:p>
        </w:tc>
        <w:tc>
          <w:tcPr>
            <w:tcW w:w="270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761E4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 (0.26)</w:t>
            </w:r>
          </w:p>
        </w:tc>
      </w:tr>
      <w:bookmarkEnd w:id="0"/>
    </w:tbl>
    <w:p w14:paraId="5EE8BB3F" w14:textId="0C2C0DC4" w:rsidR="00EC2E32" w:rsidRPr="00085CAF" w:rsidRDefault="002E739C" w:rsidP="004364D5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br w:type="page"/>
      </w:r>
    </w:p>
    <w:p w14:paraId="21645022" w14:textId="75DAA1F3" w:rsidR="00EC2E32" w:rsidRDefault="002E739C">
      <w:pPr>
        <w:spacing w:after="0" w:line="24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bookmarkStart w:id="1" w:name="_Hlk99310309"/>
      <w:bookmarkStart w:id="2" w:name="_Hlk92743505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3. 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Baseline characteristics between patients </w:t>
      </w:r>
      <w:r w:rsidR="00D11208">
        <w:rPr>
          <w:rFonts w:ascii="Times New Roman" w:eastAsiaTheme="minorEastAsia" w:hAnsi="Times New Roman" w:cs="Times New Roman"/>
          <w:color w:val="auto"/>
          <w:szCs w:val="20"/>
        </w:rPr>
        <w:t>with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early </w:t>
      </w:r>
      <w:r w:rsidR="00D11208">
        <w:rPr>
          <w:rFonts w:ascii="Times New Roman" w:eastAsiaTheme="minorEastAsia" w:hAnsi="Times New Roman" w:cs="Times New Roman"/>
          <w:color w:val="auto"/>
          <w:szCs w:val="20"/>
        </w:rPr>
        <w:t>RRT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  <w:proofErr w:type="spellStart"/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>v.s</w:t>
      </w:r>
      <w:proofErr w:type="spellEnd"/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>. no</w:t>
      </w:r>
      <w:r w:rsidR="00D11208"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early </w:t>
      </w:r>
      <w:r w:rsidR="00D11208">
        <w:rPr>
          <w:rFonts w:ascii="Times New Roman" w:eastAsiaTheme="minorEastAsia" w:hAnsi="Times New Roman" w:cs="Times New Roman"/>
          <w:color w:val="auto"/>
          <w:szCs w:val="20"/>
        </w:rPr>
        <w:t>RRT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 xml:space="preserve"> before </w:t>
      </w:r>
      <w:r w:rsidR="00D11208">
        <w:rPr>
          <w:rFonts w:ascii="Times New Roman" w:eastAsiaTheme="minorEastAsia" w:hAnsi="Times New Roman" w:cs="Times New Roman"/>
          <w:color w:val="auto"/>
          <w:szCs w:val="20"/>
        </w:rPr>
        <w:t>PSM</w:t>
      </w:r>
      <w:r w:rsidR="00D11208" w:rsidRPr="00D11208">
        <w:rPr>
          <w:rFonts w:ascii="Times New Roman" w:eastAsiaTheme="minorEastAsia" w:hAnsi="Times New Roman" w:cs="Times New Roman"/>
          <w:color w:val="auto"/>
          <w:szCs w:val="20"/>
        </w:rPr>
        <w:t>.</w:t>
      </w:r>
    </w:p>
    <w:tbl>
      <w:tblPr>
        <w:tblW w:w="9877" w:type="dxa"/>
        <w:jc w:val="center"/>
        <w:tblLook w:val="04A0" w:firstRow="1" w:lastRow="0" w:firstColumn="1" w:lastColumn="0" w:noHBand="0" w:noVBand="1"/>
      </w:tblPr>
      <w:tblGrid>
        <w:gridCol w:w="3156"/>
        <w:gridCol w:w="1908"/>
        <w:gridCol w:w="1908"/>
        <w:gridCol w:w="1908"/>
        <w:gridCol w:w="997"/>
      </w:tblGrid>
      <w:tr w:rsidR="00F56542" w:rsidRPr="00F56542" w14:paraId="1DBA6B73" w14:textId="77777777" w:rsidTr="00F56542">
        <w:trPr>
          <w:trHeight w:val="374"/>
          <w:jc w:val="center"/>
        </w:trPr>
        <w:tc>
          <w:tcPr>
            <w:tcW w:w="31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0F6C5F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BD56B2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Total                n=745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B3D0DD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Early RRT              n=263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0A532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No Early RRT                    n=482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E5332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 Value</w:t>
            </w:r>
          </w:p>
        </w:tc>
      </w:tr>
      <w:tr w:rsidR="00F56542" w:rsidRPr="00F56542" w14:paraId="35FB0C32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3B8DCCB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</w:tr>
      <w:tr w:rsidR="00F56542" w:rsidRPr="00F56542" w14:paraId="71B8D339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0FB9B2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53D23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62.1±16.6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B40E80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59.2±16.4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9D16C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63.7±16.5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7F6E57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F56542" w:rsidRPr="00F56542" w14:paraId="66B04ECC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8C26D2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BA1C8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456 (61.2)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E569DD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162 (61.6)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B490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294 (61.0)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CD9A97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0.940 </w:t>
            </w:r>
          </w:p>
        </w:tc>
      </w:tr>
      <w:tr w:rsidR="00F56542" w:rsidRPr="00F56542" w14:paraId="69A84441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4CBCDF1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</w:tr>
      <w:tr w:rsidR="00F56542" w:rsidRPr="00F56542" w14:paraId="3DCD2709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4F6A2B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A8FDCA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404 (54.2)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1D0620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158 (60.1)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80C801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246 (51.0)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8581B1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0.021 </w:t>
            </w:r>
          </w:p>
        </w:tc>
      </w:tr>
      <w:tr w:rsidR="00F56542" w:rsidRPr="00F56542" w14:paraId="53C6CFA1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5F65E8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D51C6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230 (30.9)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AF217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92 (35.0)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A49E3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138 (28.6)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575E3C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0.081 </w:t>
            </w:r>
          </w:p>
        </w:tc>
      </w:tr>
      <w:tr w:rsidR="00F56542" w:rsidRPr="00F56542" w14:paraId="5ACD3242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18374C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CAD,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0E0FFC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178 (23.9)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882B49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62 (23.6)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DF1695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116 (24.1)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63C018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0.930 </w:t>
            </w:r>
          </w:p>
        </w:tc>
      </w:tr>
      <w:tr w:rsidR="00F56542" w:rsidRPr="00F56542" w14:paraId="0EE92799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0DEA24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Ischemic stroke,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DC2A96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151 (20.3)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5AAF9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51 (19.4)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0EC0F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100 (20.7)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0DBBC4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0.700 </w:t>
            </w:r>
          </w:p>
        </w:tc>
      </w:tr>
      <w:tr w:rsidR="00F56542" w:rsidRPr="00F56542" w14:paraId="405B6065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A0C072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Cancer,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03A12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92 (12.3)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4ABA99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22 (8.40)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E5607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70 (14.5)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B289C0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0.014 </w:t>
            </w:r>
          </w:p>
        </w:tc>
      </w:tr>
      <w:tr w:rsidR="00F56542" w:rsidRPr="00F56542" w14:paraId="3A8E50DA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C8DE4C7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On-admission clinical characteristics </w:t>
            </w:r>
          </w:p>
        </w:tc>
      </w:tr>
      <w:tr w:rsidR="00F56542" w:rsidRPr="00F56542" w14:paraId="39FFA728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C09BA2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1F408F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138±36.0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FC9C51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143±39.2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05CA3C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135±33.8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2C2E7A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0.005 </w:t>
            </w:r>
          </w:p>
        </w:tc>
      </w:tr>
      <w:tr w:rsidR="00F56542" w:rsidRPr="00F56542" w14:paraId="385C1615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BC8326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0013F6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70.2±19.1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0A7EF7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71.0±20.5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B57ED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69.8±18.3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D06915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0.390 </w:t>
            </w:r>
          </w:p>
        </w:tc>
      </w:tr>
      <w:tr w:rsidR="00F56542" w:rsidRPr="00F56542" w14:paraId="4D3BFA4F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C7FA19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D25C1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102±24.4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238B04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100±24.9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98D5D2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103±24.1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4FAA10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0.170 </w:t>
            </w:r>
          </w:p>
        </w:tc>
      </w:tr>
      <w:tr w:rsidR="00F56542" w:rsidRPr="00F56542" w14:paraId="49D8526B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FE8204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Serum creatinine, </w:t>
            </w:r>
            <w:proofErr w:type="spellStart"/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umol</w:t>
            </w:r>
            <w:proofErr w:type="spellEnd"/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CE9AB7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234±291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1207F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460±384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C966DF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111±87.2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7C83C8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F56542" w:rsidRPr="00F56542" w14:paraId="25B05614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DEA6A5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Oxygenation index, mmHg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ABBE44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177±67.4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AF04A1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184±68.3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516AB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174±66.6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786466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0.034 </w:t>
            </w:r>
          </w:p>
        </w:tc>
      </w:tr>
      <w:tr w:rsidR="00F56542" w:rsidRPr="00F56542" w14:paraId="24848C7B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E2F982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GCS Score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8AD711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13 (7 to 15)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7697987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14 (7 to 15)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67D50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12 (7 to 15)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656FF3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0.110 </w:t>
            </w:r>
          </w:p>
        </w:tc>
      </w:tr>
      <w:tr w:rsidR="00F56542" w:rsidRPr="00F56542" w14:paraId="1CA1943F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DFDF0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D39CF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11 (8 to 14)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39226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12 (9 to 15)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E949C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 (8 to 14)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C0C710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F56542" w:rsidRPr="00F56542" w14:paraId="6CD5A6FF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DC0E9C8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operation, n (%)</w:t>
            </w:r>
          </w:p>
        </w:tc>
      </w:tr>
      <w:tr w:rsidR="00F56542" w:rsidRPr="00F56542" w14:paraId="2728DFDA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482E4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CE413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82 (11.0)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A8B365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16 (6.10)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F7106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66 (13.7)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3DB3D6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0.001 </w:t>
            </w:r>
          </w:p>
        </w:tc>
      </w:tr>
      <w:tr w:rsidR="00F56542" w:rsidRPr="00F56542" w14:paraId="057A9C33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6207021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ventilation, n (%)</w:t>
            </w:r>
          </w:p>
        </w:tc>
      </w:tr>
      <w:tr w:rsidR="00F56542" w:rsidRPr="00F56542" w14:paraId="318DA2AD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C70DD1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69FB1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469 (63.0)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D29E56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138 (52.5)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11222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331 (68.7)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592FDB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F56542" w:rsidRPr="00F56542" w14:paraId="0E054D6B" w14:textId="77777777" w:rsidTr="00F56542">
        <w:trPr>
          <w:trHeight w:val="209"/>
          <w:jc w:val="center"/>
        </w:trPr>
        <w:tc>
          <w:tcPr>
            <w:tcW w:w="987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1A69094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F56542" w:rsidRPr="00F56542" w14:paraId="0953CD32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77B891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Antibiotics,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F08372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659 (88.5)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EF6E21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216 (82.1)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60A6ED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443 (91.9)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F0C21E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F56542" w:rsidRPr="00F56542" w14:paraId="37B9F18D" w14:textId="77777777" w:rsidTr="00F56542">
        <w:trPr>
          <w:trHeight w:val="209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F3B7E6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E2F05D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236 (31.7)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2BD25D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142 (54.0)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32048F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310 (64.3)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E5ECCB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0.006 </w:t>
            </w:r>
          </w:p>
        </w:tc>
      </w:tr>
      <w:tr w:rsidR="00F56542" w:rsidRPr="00F56542" w14:paraId="3928BF1E" w14:textId="77777777" w:rsidTr="00F56542">
        <w:trPr>
          <w:trHeight w:val="374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7484D6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19050B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236 (31.7)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E36836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77 (29.3)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21CB10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159 (33.0)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7810C9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0.320 </w:t>
            </w:r>
          </w:p>
        </w:tc>
      </w:tr>
      <w:tr w:rsidR="00F56542" w:rsidRPr="00F56542" w14:paraId="7F569748" w14:textId="77777777" w:rsidTr="00F56542">
        <w:trPr>
          <w:trHeight w:val="374"/>
          <w:jc w:val="center"/>
        </w:trPr>
        <w:tc>
          <w:tcPr>
            <w:tcW w:w="31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38C267" w14:textId="77777777" w:rsidR="00F56542" w:rsidRPr="00F56542" w:rsidRDefault="00F56542" w:rsidP="00F5654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transfusion, n (%)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86E7D2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257 (34.5)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784D9E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108 (41.1)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465048" w14:textId="77777777" w:rsidR="00F56542" w:rsidRPr="00F56542" w:rsidRDefault="00F56542" w:rsidP="00F5654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>149 (30.9)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82C89A" w14:textId="77777777" w:rsidR="00F56542" w:rsidRPr="00F56542" w:rsidRDefault="00F56542" w:rsidP="00F5654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F56542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0.006 </w:t>
            </w:r>
          </w:p>
        </w:tc>
      </w:tr>
    </w:tbl>
    <w:p w14:paraId="27117A60" w14:textId="2AFCEEC7" w:rsidR="00EC2E32" w:rsidRPr="00085CAF" w:rsidRDefault="002E739C" w:rsidP="001E5D7A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  <w:bookmarkStart w:id="3" w:name="_Hlk99310405"/>
      <w:bookmarkEnd w:id="1"/>
      <w:bookmarkEnd w:id="2"/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Abbreviations: </w:t>
      </w:r>
      <w:bookmarkStart w:id="4" w:name="_Hlk105425316"/>
      <w:bookmarkStart w:id="5" w:name="_Hlk94449816"/>
      <w:r w:rsidR="00F56542" w:rsidRPr="00D11208">
        <w:rPr>
          <w:rFonts w:ascii="Times New Roman" w:eastAsia="宋体" w:hAnsi="Times New Roman" w:cs="Times New Roman"/>
          <w:color w:val="auto"/>
          <w:szCs w:val="20"/>
        </w:rPr>
        <w:t xml:space="preserve">CAD, </w:t>
      </w:r>
      <w:r w:rsidR="00D11208" w:rsidRPr="00D11208">
        <w:rPr>
          <w:rFonts w:ascii="Times New Roman" w:eastAsia="宋体" w:hAnsi="Times New Roman" w:cs="Times New Roman"/>
          <w:color w:val="auto"/>
          <w:szCs w:val="20"/>
        </w:rPr>
        <w:t>coronary artery disease</w:t>
      </w:r>
      <w:bookmarkEnd w:id="4"/>
      <w:r w:rsidR="00D11208" w:rsidRPr="00D11208">
        <w:rPr>
          <w:rFonts w:ascii="Times New Roman" w:eastAsia="宋体" w:hAnsi="Times New Roman" w:cs="Times New Roman"/>
          <w:color w:val="auto"/>
          <w:szCs w:val="20"/>
        </w:rPr>
        <w:t xml:space="preserve">;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DBP, diastolic blood pressure; GCS, Glasgow Coma Scale; SBP, systolic blood pressure; </w:t>
      </w:r>
      <w:r w:rsidR="00D11208">
        <w:rPr>
          <w:rFonts w:ascii="Times New Roman" w:eastAsia="宋体" w:hAnsi="Times New Roman" w:cs="Times New Roman"/>
          <w:color w:val="auto"/>
          <w:szCs w:val="20"/>
        </w:rPr>
        <w:t xml:space="preserve">PSM, </w:t>
      </w:r>
      <w:r w:rsidR="00D11208" w:rsidRPr="00D11208">
        <w:rPr>
          <w:rFonts w:ascii="Times New Roman" w:eastAsia="宋体" w:hAnsi="Times New Roman" w:cs="Times New Roman"/>
          <w:color w:val="auto"/>
          <w:szCs w:val="20"/>
        </w:rPr>
        <w:t>propensity score matching</w:t>
      </w:r>
      <w:r w:rsidR="00D11208">
        <w:rPr>
          <w:rFonts w:ascii="Times New Roman" w:eastAsia="宋体" w:hAnsi="Times New Roman" w:cs="Times New Roman"/>
          <w:color w:val="auto"/>
          <w:szCs w:val="20"/>
        </w:rPr>
        <w:t>;</w:t>
      </w:r>
      <w:r w:rsidR="00D11208" w:rsidRPr="00D11208">
        <w:rPr>
          <w:rFonts w:ascii="Times New Roman" w:eastAsia="宋体" w:hAnsi="Times New Roman" w:cs="Times New Roman"/>
          <w:color w:val="auto"/>
          <w:szCs w:val="20"/>
        </w:rPr>
        <w:t xml:space="preserve">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SOFA, Sequential Organ Failure Assessment.</w:t>
      </w:r>
      <w:bookmarkStart w:id="6" w:name="_Hlk91494232"/>
      <w:bookmarkEnd w:id="3"/>
      <w:bookmarkEnd w:id="5"/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br w:type="page"/>
      </w:r>
    </w:p>
    <w:p w14:paraId="1CB00182" w14:textId="0B53E148" w:rsidR="00A46C99" w:rsidRDefault="001E5D7A" w:rsidP="00E40DAF">
      <w:pPr>
        <w:spacing w:after="0" w:line="240" w:lineRule="auto"/>
        <w:ind w:left="0" w:firstLine="0"/>
        <w:jc w:val="center"/>
        <w:rPr>
          <w:rFonts w:ascii="Times New Roman" w:eastAsia="宋体" w:hAnsi="Times New Roman" w:cs="Times New Roman"/>
          <w:color w:val="auto"/>
          <w:szCs w:val="20"/>
        </w:rPr>
      </w:pPr>
      <w:r w:rsidRPr="001E5D7A">
        <w:rPr>
          <w:rFonts w:ascii="Times New Roman" w:eastAsia="宋体" w:hAnsi="Times New Roman" w:cs="Times New Roman"/>
          <w:b/>
          <w:bCs/>
          <w:color w:val="auto"/>
          <w:szCs w:val="20"/>
        </w:rPr>
        <w:lastRenderedPageBreak/>
        <w:t xml:space="preserve">Supplemental Table </w:t>
      </w:r>
      <w:r>
        <w:rPr>
          <w:rFonts w:ascii="Times New Roman" w:eastAsia="宋体" w:hAnsi="Times New Roman" w:cs="Times New Roman"/>
          <w:b/>
          <w:bCs/>
          <w:color w:val="auto"/>
          <w:szCs w:val="20"/>
        </w:rPr>
        <w:t>4</w:t>
      </w:r>
      <w:r w:rsidRPr="001E5D7A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. </w:t>
      </w:r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Baseline characteristics between patients with early RRT </w:t>
      </w:r>
      <w:proofErr w:type="spellStart"/>
      <w:r w:rsidRPr="001E5D7A">
        <w:rPr>
          <w:rFonts w:ascii="Times New Roman" w:eastAsia="宋体" w:hAnsi="Times New Roman" w:cs="Times New Roman"/>
          <w:color w:val="auto"/>
          <w:szCs w:val="20"/>
        </w:rPr>
        <w:t>v.s</w:t>
      </w:r>
      <w:proofErr w:type="spellEnd"/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. no early RRT </w:t>
      </w:r>
      <w:r>
        <w:rPr>
          <w:rFonts w:ascii="Times New Roman" w:eastAsia="宋体" w:hAnsi="Times New Roman" w:cs="Times New Roman"/>
          <w:color w:val="auto"/>
          <w:szCs w:val="20"/>
        </w:rPr>
        <w:t>after</w:t>
      </w:r>
      <w:r w:rsidRPr="001E5D7A">
        <w:rPr>
          <w:rFonts w:ascii="Times New Roman" w:eastAsia="宋体" w:hAnsi="Times New Roman" w:cs="Times New Roman"/>
          <w:color w:val="auto"/>
          <w:szCs w:val="20"/>
        </w:rPr>
        <w:t xml:space="preserve"> PSM with a maximal matching ratio of 1-to-2</w:t>
      </w:r>
      <w:r>
        <w:rPr>
          <w:rFonts w:ascii="Times New Roman" w:eastAsia="宋体" w:hAnsi="Times New Roman" w:cs="Times New Roman"/>
          <w:color w:val="auto"/>
          <w:szCs w:val="20"/>
        </w:rPr>
        <w:t>.</w:t>
      </w:r>
    </w:p>
    <w:tbl>
      <w:tblPr>
        <w:tblW w:w="9893" w:type="dxa"/>
        <w:jc w:val="center"/>
        <w:tblLook w:val="04A0" w:firstRow="1" w:lastRow="0" w:firstColumn="1" w:lastColumn="0" w:noHBand="0" w:noVBand="1"/>
      </w:tblPr>
      <w:tblGrid>
        <w:gridCol w:w="3137"/>
        <w:gridCol w:w="1922"/>
        <w:gridCol w:w="1922"/>
        <w:gridCol w:w="1922"/>
        <w:gridCol w:w="990"/>
      </w:tblGrid>
      <w:tr w:rsidR="001E5D7A" w:rsidRPr="001E5D7A" w14:paraId="07D9411E" w14:textId="77777777" w:rsidTr="001E5D7A">
        <w:trPr>
          <w:trHeight w:val="244"/>
          <w:jc w:val="center"/>
        </w:trPr>
        <w:tc>
          <w:tcPr>
            <w:tcW w:w="31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C35CF5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1EDD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Total                n=299</w:t>
            </w: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ED60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Early RRT              n=102</w:t>
            </w: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84D056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No Early RRT                    n=197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394357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 Value</w:t>
            </w:r>
          </w:p>
        </w:tc>
      </w:tr>
      <w:tr w:rsidR="001E5D7A" w:rsidRPr="001E5D7A" w14:paraId="0B126AA7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4A3CD94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</w:tr>
      <w:tr w:rsidR="001E5D7A" w:rsidRPr="001E5D7A" w14:paraId="2D2FE3F7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9251DF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5BC39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58.4±17.4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6C0B3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58.1±16.6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F72B33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58.6±17.8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4124DD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0.840 </w:t>
            </w:r>
          </w:p>
        </w:tc>
      </w:tr>
      <w:tr w:rsidR="001E5D7A" w:rsidRPr="001E5D7A" w14:paraId="388BE495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493E9E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F3FC9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166 (55.5)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E8B8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56 (54.9)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AC270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110 (55.8)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6298C7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0.900 </w:t>
            </w:r>
          </w:p>
        </w:tc>
      </w:tr>
      <w:tr w:rsidR="001E5D7A" w:rsidRPr="001E5D7A" w14:paraId="781C40E9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9CCFD3F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</w:tr>
      <w:tr w:rsidR="001E5D7A" w:rsidRPr="001E5D7A" w14:paraId="193736B5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F3217A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5848D3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144 (48.2)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EE71BC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48 (47.1)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8E2426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96 (48.7)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0D886A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0.810 </w:t>
            </w:r>
          </w:p>
        </w:tc>
      </w:tr>
      <w:tr w:rsidR="001E5D7A" w:rsidRPr="001E5D7A" w14:paraId="0F6F6B30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3A7C51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C022F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96 (32.1)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0A3B2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30 (29.4)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8CA78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66 (33.5)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02D343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0.520 </w:t>
            </w:r>
          </w:p>
        </w:tc>
      </w:tr>
      <w:tr w:rsidR="001E5D7A" w:rsidRPr="001E5D7A" w14:paraId="7A167DC8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6FCC9B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CAD,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092AAE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60 (20.1)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B71CE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19 (18.6)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DD36B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41 (20.8)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87FD8B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0.760 </w:t>
            </w:r>
          </w:p>
        </w:tc>
      </w:tr>
      <w:tr w:rsidR="001E5D7A" w:rsidRPr="001E5D7A" w14:paraId="2EA89258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E45C04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Ischemic stroke,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AAD0C2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54 (18.1)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176B02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19 (18.6)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70FEF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35 (17.8)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F268BB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0.870 </w:t>
            </w:r>
          </w:p>
        </w:tc>
      </w:tr>
      <w:tr w:rsidR="001E5D7A" w:rsidRPr="001E5D7A" w14:paraId="334B9E68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030D97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Cancer,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2D289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30 (10.0)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7B987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 (10.8)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9555D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19 (9.60)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09F011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0.840 </w:t>
            </w:r>
          </w:p>
        </w:tc>
      </w:tr>
      <w:tr w:rsidR="001E5D7A" w:rsidRPr="001E5D7A" w14:paraId="29B89DC5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708DAA3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On-admission clinical characteristics </w:t>
            </w:r>
          </w:p>
        </w:tc>
      </w:tr>
      <w:tr w:rsidR="001E5D7A" w:rsidRPr="001E5D7A" w14:paraId="79DF92F6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896077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467D2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131±36.0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3C761E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131±38.6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8C503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131±34.7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EE166F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0.880 </w:t>
            </w:r>
          </w:p>
        </w:tc>
      </w:tr>
      <w:tr w:rsidR="001E5D7A" w:rsidRPr="001E5D7A" w14:paraId="402F60D7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15E420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DD63BD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68.1±19.2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480168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68.0±20.7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6AD204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68.1±18.4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07B820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0.960 </w:t>
            </w:r>
          </w:p>
        </w:tc>
      </w:tr>
      <w:tr w:rsidR="001E5D7A" w:rsidRPr="001E5D7A" w14:paraId="638F8E11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A3014D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75E813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103±23.2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54F98B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102±25.1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F61EC4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104±22.3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0713CE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0.610 </w:t>
            </w:r>
          </w:p>
        </w:tc>
      </w:tr>
      <w:tr w:rsidR="001E5D7A" w:rsidRPr="001E5D7A" w14:paraId="6B6ACBD7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49FFEA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Serum creatinine, </w:t>
            </w:r>
            <w:proofErr w:type="spellStart"/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umol</w:t>
            </w:r>
            <w:proofErr w:type="spellEnd"/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EB7066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163±112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43E255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170±110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4E923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159±113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4C6928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0.420 </w:t>
            </w:r>
          </w:p>
        </w:tc>
      </w:tr>
      <w:tr w:rsidR="001E5D7A" w:rsidRPr="001E5D7A" w14:paraId="279886D3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1AECAA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Oxygenation index, mmHg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F6415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179±68.8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35DC75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180±71.4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574846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178±67.7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7C821E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0.810 </w:t>
            </w:r>
          </w:p>
        </w:tc>
      </w:tr>
      <w:tr w:rsidR="001E5D7A" w:rsidRPr="001E5D7A" w14:paraId="67409424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7922E6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GCS Score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3C87A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14 (7 to 15)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2CF10E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13.5 (7 to 15)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286255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14 (6 to 15)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510BDA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0.770 </w:t>
            </w:r>
          </w:p>
        </w:tc>
      </w:tr>
      <w:tr w:rsidR="001E5D7A" w:rsidRPr="001E5D7A" w14:paraId="4F819E55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802323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D0CB6F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 (8 to 16)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19335F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 (8 to 15)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D4996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 (8 to 16)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0CFE39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0.610 </w:t>
            </w:r>
          </w:p>
        </w:tc>
      </w:tr>
      <w:tr w:rsidR="001E5D7A" w:rsidRPr="001E5D7A" w14:paraId="412B649E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AA4039D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operation, n (%)</w:t>
            </w:r>
          </w:p>
        </w:tc>
      </w:tr>
      <w:tr w:rsidR="001E5D7A" w:rsidRPr="001E5D7A" w14:paraId="1202D56E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BFDF49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E5BDD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31 (10.4)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B10EDE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 (10.8)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9416BE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20 (10.2)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39446D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0.840 </w:t>
            </w:r>
          </w:p>
        </w:tc>
      </w:tr>
      <w:tr w:rsidR="001E5D7A" w:rsidRPr="001E5D7A" w14:paraId="6F237641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1C2898C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ventilation, n (%)</w:t>
            </w:r>
          </w:p>
        </w:tc>
      </w:tr>
      <w:tr w:rsidR="001E5D7A" w:rsidRPr="001E5D7A" w14:paraId="0E77490A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7C96DF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B4BB35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188 (62.9)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7EC40F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62 (60.8)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344B3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126 (64.0)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35652E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0.610 </w:t>
            </w:r>
          </w:p>
        </w:tc>
      </w:tr>
      <w:tr w:rsidR="001E5D7A" w:rsidRPr="001E5D7A" w14:paraId="70C89FC7" w14:textId="77777777" w:rsidTr="001E5D7A">
        <w:trPr>
          <w:trHeight w:val="135"/>
          <w:jc w:val="center"/>
        </w:trPr>
        <w:tc>
          <w:tcPr>
            <w:tcW w:w="989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139C85F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1E5D7A" w:rsidRPr="001E5D7A" w14:paraId="4B082EC1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A68921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Antibiotics,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E7B04D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265 (88.6)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63305F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90 (88.2)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438168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175 (88.8)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C844E8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0.850 </w:t>
            </w:r>
          </w:p>
        </w:tc>
      </w:tr>
      <w:tr w:rsidR="001E5D7A" w:rsidRPr="001E5D7A" w14:paraId="3234F45F" w14:textId="77777777" w:rsidTr="001E5D7A">
        <w:trPr>
          <w:trHeight w:val="135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F67DFA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4BADD1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180 (60.2)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5C582E80" w14:textId="00D185B5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61 (59.8)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FCBCD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119 (60.4)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E563DE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1E5D7A" w:rsidRPr="001E5D7A" w14:paraId="7894ED2E" w14:textId="77777777" w:rsidTr="001E5D7A">
        <w:trPr>
          <w:trHeight w:val="244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8FA73F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0FE159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117 (39.1)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44D56C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38 (37.3)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BC4BA7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79 (40.1)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AF2115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0.710 </w:t>
            </w:r>
          </w:p>
        </w:tc>
      </w:tr>
      <w:tr w:rsidR="001E5D7A" w:rsidRPr="001E5D7A" w14:paraId="4291BF31" w14:textId="77777777" w:rsidTr="001E5D7A">
        <w:trPr>
          <w:trHeight w:val="244"/>
          <w:jc w:val="center"/>
        </w:trPr>
        <w:tc>
          <w:tcPr>
            <w:tcW w:w="3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5BF3A7" w14:textId="77777777" w:rsidR="001E5D7A" w:rsidRPr="001E5D7A" w:rsidRDefault="001E5D7A" w:rsidP="001E5D7A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transfusion, n (%)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9EFD8C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101 (33.8)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71C053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36 (35.3)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EBE92D" w14:textId="77777777" w:rsidR="001E5D7A" w:rsidRPr="001E5D7A" w:rsidRDefault="001E5D7A" w:rsidP="001E5D7A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>65 (33.0)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5D1F97" w14:textId="77777777" w:rsidR="001E5D7A" w:rsidRPr="001E5D7A" w:rsidRDefault="001E5D7A" w:rsidP="001E5D7A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1E5D7A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0.700 </w:t>
            </w:r>
          </w:p>
        </w:tc>
      </w:tr>
    </w:tbl>
    <w:p w14:paraId="2BF641AE" w14:textId="4F90B21C" w:rsidR="001E5D7A" w:rsidRPr="00085CAF" w:rsidRDefault="001E5D7A" w:rsidP="001E5D7A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Abbreviations: </w:t>
      </w:r>
      <w:r w:rsidRPr="00D11208">
        <w:rPr>
          <w:rFonts w:ascii="Times New Roman" w:eastAsia="宋体" w:hAnsi="Times New Roman" w:cs="Times New Roman"/>
          <w:color w:val="auto"/>
          <w:szCs w:val="20"/>
        </w:rPr>
        <w:t xml:space="preserve">CAD, coronary artery disease;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DBP, diastolic blood pressure; GCS, Glasgow Coma Scale; SBP, systolic blood pressure; </w:t>
      </w:r>
      <w:r>
        <w:rPr>
          <w:rFonts w:ascii="Times New Roman" w:eastAsia="宋体" w:hAnsi="Times New Roman" w:cs="Times New Roman"/>
          <w:color w:val="auto"/>
          <w:szCs w:val="20"/>
        </w:rPr>
        <w:t xml:space="preserve">PSM, </w:t>
      </w:r>
      <w:r w:rsidRPr="00D11208">
        <w:rPr>
          <w:rFonts w:ascii="Times New Roman" w:eastAsia="宋体" w:hAnsi="Times New Roman" w:cs="Times New Roman"/>
          <w:color w:val="auto"/>
          <w:szCs w:val="20"/>
        </w:rPr>
        <w:t>propensity score matching</w:t>
      </w:r>
      <w:r>
        <w:rPr>
          <w:rFonts w:ascii="Times New Roman" w:eastAsia="宋体" w:hAnsi="Times New Roman" w:cs="Times New Roman"/>
          <w:color w:val="auto"/>
          <w:szCs w:val="20"/>
        </w:rPr>
        <w:t>;</w:t>
      </w:r>
      <w:r w:rsidRPr="00D11208">
        <w:rPr>
          <w:rFonts w:ascii="Times New Roman" w:eastAsia="宋体" w:hAnsi="Times New Roman" w:cs="Times New Roman"/>
          <w:color w:val="auto"/>
          <w:szCs w:val="20"/>
        </w:rPr>
        <w:t xml:space="preserve">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SOFA, Sequential Organ Failure Assessment.</w:t>
      </w:r>
    </w:p>
    <w:p w14:paraId="2C21880C" w14:textId="0EAA6750" w:rsidR="00641F0B" w:rsidRDefault="00A46C99" w:rsidP="001E5D7A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br w:type="page"/>
      </w:r>
      <w:bookmarkStart w:id="7" w:name="_Hlk91519354"/>
      <w:bookmarkEnd w:id="6"/>
      <w:r w:rsidR="00D13D51" w:rsidRPr="00A350FD">
        <w:rPr>
          <w:noProof/>
        </w:rPr>
        <w:lastRenderedPageBreak/>
        <w:drawing>
          <wp:inline distT="0" distB="0" distL="0" distR="0" wp14:anchorId="09F84C13" wp14:editId="0874FAF9">
            <wp:extent cx="5278120" cy="5153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7ED36" w14:textId="7F88EA95" w:rsidR="00D13D51" w:rsidRPr="00A350FD" w:rsidRDefault="00D13D51" w:rsidP="00D13D51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bookmarkStart w:id="8" w:name="_Hlk92743835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Supplemental Figure </w:t>
      </w:r>
      <w:r>
        <w:rPr>
          <w:rFonts w:ascii="Times New Roman" w:eastAsiaTheme="minorEastAsia" w:hAnsi="Times New Roman" w:cs="Times New Roman"/>
          <w:b/>
          <w:bCs/>
          <w:color w:val="auto"/>
          <w:szCs w:val="20"/>
        </w:rPr>
        <w:t>1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. </w:t>
      </w:r>
      <w:bookmarkEnd w:id="8"/>
      <w:r w:rsidRPr="00A350FD">
        <w:rPr>
          <w:rFonts w:ascii="Times New Roman" w:eastAsiaTheme="minorEastAsia" w:hAnsi="Times New Roman" w:cs="Times New Roman"/>
          <w:color w:val="auto"/>
          <w:szCs w:val="20"/>
        </w:rPr>
        <w:t xml:space="preserve">Forest plot of the sensitivity and subgroup analysis for </w:t>
      </w:r>
      <w:r>
        <w:rPr>
          <w:rFonts w:ascii="Times New Roman" w:eastAsiaTheme="minorEastAsia" w:hAnsi="Times New Roman" w:cs="Times New Roman"/>
          <w:color w:val="auto"/>
          <w:szCs w:val="20"/>
        </w:rPr>
        <w:t>90-day mortality</w:t>
      </w:r>
      <w:r w:rsidRPr="00A350FD">
        <w:rPr>
          <w:rFonts w:ascii="Times New Roman" w:eastAsiaTheme="minorEastAsia" w:hAnsi="Times New Roman" w:cs="Times New Roman"/>
          <w:color w:val="auto"/>
          <w:szCs w:val="20"/>
        </w:rPr>
        <w:t>. Abbreviations: ARDS, acute respiratory distress syndrome; CI, confidence intervals; eGFR, estimated glomerular filtration rate; HR, hazard ratio; MAP, mean arterial pressure; RRT, renal replacement therapy.</w:t>
      </w:r>
    </w:p>
    <w:p w14:paraId="3A4A2F3F" w14:textId="77777777" w:rsidR="00D13D51" w:rsidRPr="00D13D51" w:rsidRDefault="00D13D51" w:rsidP="001E5D7A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</w:p>
    <w:p w14:paraId="27BA7687" w14:textId="2D414274" w:rsidR="00A350FD" w:rsidRDefault="00A350FD" w:rsidP="00A350FD">
      <w:pPr>
        <w:spacing w:after="0" w:line="360" w:lineRule="auto"/>
        <w:ind w:left="0" w:firstLine="0"/>
        <w:jc w:val="center"/>
        <w:rPr>
          <w:rFonts w:ascii="Times New Roman" w:eastAsia="宋体" w:hAnsi="Times New Roman" w:cs="Times New Roman"/>
          <w:b/>
          <w:bCs/>
          <w:color w:val="auto"/>
          <w:szCs w:val="20"/>
        </w:rPr>
      </w:pPr>
      <w:r>
        <w:rPr>
          <w:noProof/>
        </w:rPr>
        <w:lastRenderedPageBreak/>
        <w:drawing>
          <wp:inline distT="0" distB="0" distL="0" distR="0" wp14:anchorId="043E9CBE" wp14:editId="5B304253">
            <wp:extent cx="3776225" cy="4121046"/>
            <wp:effectExtent l="0" t="0" r="0" b="0"/>
            <wp:docPr id="3" name="图片 3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945" cy="413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0B3A2" w14:textId="04D6738A" w:rsidR="00EC2E32" w:rsidRPr="00D13D51" w:rsidRDefault="00A350FD" w:rsidP="00D13D51">
      <w:pPr>
        <w:spacing w:after="0" w:line="360" w:lineRule="auto"/>
        <w:ind w:left="0" w:firstLine="0"/>
        <w:rPr>
          <w:rFonts w:ascii="Times New Roman" w:eastAsia="宋体" w:hAnsi="Times New Roman" w:cs="Times New Roman" w:hint="eastAsia"/>
          <w:color w:val="auto"/>
          <w:szCs w:val="20"/>
        </w:rPr>
      </w:pPr>
      <w:bookmarkStart w:id="9" w:name="_Hlk105428670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Supplemental Figure </w:t>
      </w:r>
      <w:r w:rsidR="00D13D51">
        <w:rPr>
          <w:rFonts w:ascii="Times New Roman" w:eastAsiaTheme="minorEastAsia" w:hAnsi="Times New Roman" w:cs="Times New Roman"/>
          <w:b/>
          <w:bCs/>
          <w:color w:val="auto"/>
          <w:szCs w:val="20"/>
        </w:rPr>
        <w:t>2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. </w:t>
      </w:r>
      <w:bookmarkStart w:id="10" w:name="_Hlk105428192"/>
      <w:r w:rsidRPr="00A350FD">
        <w:rPr>
          <w:rFonts w:ascii="Times New Roman" w:eastAsia="宋体" w:hAnsi="Times New Roman" w:cs="Times New Roman"/>
          <w:color w:val="auto"/>
          <w:szCs w:val="20"/>
        </w:rPr>
        <w:t xml:space="preserve">A love plot illustrating the covariate balance before and after </w:t>
      </w:r>
      <w:r>
        <w:rPr>
          <w:rFonts w:ascii="Times New Roman" w:eastAsia="宋体" w:hAnsi="Times New Roman" w:cs="Times New Roman"/>
          <w:color w:val="auto"/>
          <w:szCs w:val="20"/>
        </w:rPr>
        <w:t>PSM</w:t>
      </w:r>
      <w:r w:rsidRPr="00A350FD">
        <w:t xml:space="preserve"> </w:t>
      </w:r>
      <w:r w:rsidRPr="00A350FD">
        <w:rPr>
          <w:rFonts w:ascii="Times New Roman" w:eastAsia="宋体" w:hAnsi="Times New Roman" w:cs="Times New Roman"/>
          <w:color w:val="auto"/>
          <w:szCs w:val="20"/>
        </w:rPr>
        <w:t>with a maximal matching ratio of 1-to-2</w:t>
      </w:r>
      <w:r>
        <w:rPr>
          <w:rFonts w:ascii="Times New Roman" w:eastAsia="宋体" w:hAnsi="Times New Roman" w:cs="Times New Roman"/>
          <w:color w:val="auto"/>
          <w:szCs w:val="20"/>
        </w:rPr>
        <w:t>.</w:t>
      </w:r>
      <w:r>
        <w:rPr>
          <w:rFonts w:ascii="Times New Roman" w:eastAsia="宋体" w:hAnsi="Times New Roman" w:cs="Times New Roman" w:hint="eastAsia"/>
          <w:color w:val="auto"/>
          <w:szCs w:val="20"/>
        </w:rPr>
        <w:t xml:space="preserve"> </w:t>
      </w:r>
      <w:bookmarkEnd w:id="10"/>
      <w:r w:rsidRPr="00A350FD">
        <w:rPr>
          <w:rFonts w:ascii="Times New Roman" w:eastAsia="宋体" w:hAnsi="Times New Roman" w:cs="Times New Roman"/>
          <w:color w:val="auto"/>
          <w:szCs w:val="20"/>
        </w:rPr>
        <w:t>Abbreviations: CAD, coronary heart disease; DBP, diastolic blood pressure; GCS, Glasgow Coma Scale; SBP, systolic blood pressure; SOFA, Sequential Organ Failure Assessment.</w:t>
      </w:r>
      <w:bookmarkEnd w:id="7"/>
      <w:bookmarkEnd w:id="9"/>
    </w:p>
    <w:sectPr w:rsidR="00EC2E32" w:rsidRPr="00D13D51" w:rsidSect="00512CF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8C8EF" w14:textId="77777777" w:rsidR="008433DC" w:rsidRDefault="008433DC">
      <w:pPr>
        <w:spacing w:line="240" w:lineRule="auto"/>
      </w:pPr>
      <w:r>
        <w:separator/>
      </w:r>
    </w:p>
  </w:endnote>
  <w:endnote w:type="continuationSeparator" w:id="0">
    <w:p w14:paraId="652F3274" w14:textId="77777777" w:rsidR="008433DC" w:rsidRDefault="008433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Franklin Gothic Std Me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79995" w14:textId="77777777" w:rsidR="008433DC" w:rsidRDefault="008433DC">
      <w:pPr>
        <w:spacing w:after="0"/>
      </w:pPr>
      <w:r>
        <w:separator/>
      </w:r>
    </w:p>
  </w:footnote>
  <w:footnote w:type="continuationSeparator" w:id="0">
    <w:p w14:paraId="72F2A25D" w14:textId="77777777" w:rsidR="008433DC" w:rsidRDefault="008433D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DF7"/>
    <w:rsid w:val="0000635D"/>
    <w:rsid w:val="00011F11"/>
    <w:rsid w:val="000251D9"/>
    <w:rsid w:val="00027378"/>
    <w:rsid w:val="00045293"/>
    <w:rsid w:val="00045620"/>
    <w:rsid w:val="00050240"/>
    <w:rsid w:val="00062154"/>
    <w:rsid w:val="00070688"/>
    <w:rsid w:val="00072372"/>
    <w:rsid w:val="00077670"/>
    <w:rsid w:val="00082E08"/>
    <w:rsid w:val="00085477"/>
    <w:rsid w:val="00085CAF"/>
    <w:rsid w:val="00095410"/>
    <w:rsid w:val="00096866"/>
    <w:rsid w:val="000A1694"/>
    <w:rsid w:val="000B6571"/>
    <w:rsid w:val="000B7172"/>
    <w:rsid w:val="000C1FEB"/>
    <w:rsid w:val="000C67D8"/>
    <w:rsid w:val="000D407C"/>
    <w:rsid w:val="000D40F6"/>
    <w:rsid w:val="000E3BEE"/>
    <w:rsid w:val="000E6456"/>
    <w:rsid w:val="000F60E2"/>
    <w:rsid w:val="0011019F"/>
    <w:rsid w:val="001134B0"/>
    <w:rsid w:val="001215A6"/>
    <w:rsid w:val="00124B61"/>
    <w:rsid w:val="0013144F"/>
    <w:rsid w:val="00131A4B"/>
    <w:rsid w:val="001343FB"/>
    <w:rsid w:val="00134635"/>
    <w:rsid w:val="00143D00"/>
    <w:rsid w:val="00152EAB"/>
    <w:rsid w:val="001663B2"/>
    <w:rsid w:val="001A649D"/>
    <w:rsid w:val="001B22F1"/>
    <w:rsid w:val="001C4249"/>
    <w:rsid w:val="001C42E5"/>
    <w:rsid w:val="001C5A8F"/>
    <w:rsid w:val="001E5D7A"/>
    <w:rsid w:val="001E6B67"/>
    <w:rsid w:val="002048D2"/>
    <w:rsid w:val="002109AA"/>
    <w:rsid w:val="00212D36"/>
    <w:rsid w:val="002277AE"/>
    <w:rsid w:val="00234958"/>
    <w:rsid w:val="002351E1"/>
    <w:rsid w:val="00246AB8"/>
    <w:rsid w:val="00253CDA"/>
    <w:rsid w:val="002572A7"/>
    <w:rsid w:val="00267254"/>
    <w:rsid w:val="00270D22"/>
    <w:rsid w:val="002715E1"/>
    <w:rsid w:val="00277DF5"/>
    <w:rsid w:val="00293EC2"/>
    <w:rsid w:val="00294B58"/>
    <w:rsid w:val="002B0922"/>
    <w:rsid w:val="002B6BA1"/>
    <w:rsid w:val="002C0DCC"/>
    <w:rsid w:val="002D3B45"/>
    <w:rsid w:val="002E357B"/>
    <w:rsid w:val="002E739C"/>
    <w:rsid w:val="002F0F5A"/>
    <w:rsid w:val="002F1ECF"/>
    <w:rsid w:val="002F7F90"/>
    <w:rsid w:val="00300067"/>
    <w:rsid w:val="0031512A"/>
    <w:rsid w:val="0031553E"/>
    <w:rsid w:val="00325B67"/>
    <w:rsid w:val="00350AE8"/>
    <w:rsid w:val="00350FEB"/>
    <w:rsid w:val="00364B25"/>
    <w:rsid w:val="0036775A"/>
    <w:rsid w:val="0037444B"/>
    <w:rsid w:val="00374F35"/>
    <w:rsid w:val="00381601"/>
    <w:rsid w:val="00381FDA"/>
    <w:rsid w:val="003840A9"/>
    <w:rsid w:val="00386261"/>
    <w:rsid w:val="003A0A3E"/>
    <w:rsid w:val="003B20E8"/>
    <w:rsid w:val="003B313A"/>
    <w:rsid w:val="003E4287"/>
    <w:rsid w:val="003F2CD8"/>
    <w:rsid w:val="00401E2A"/>
    <w:rsid w:val="00405E32"/>
    <w:rsid w:val="00425765"/>
    <w:rsid w:val="004364D5"/>
    <w:rsid w:val="00441C61"/>
    <w:rsid w:val="00443EE7"/>
    <w:rsid w:val="00453045"/>
    <w:rsid w:val="004535FE"/>
    <w:rsid w:val="004762E0"/>
    <w:rsid w:val="0049102B"/>
    <w:rsid w:val="00494972"/>
    <w:rsid w:val="00494A45"/>
    <w:rsid w:val="004A7F87"/>
    <w:rsid w:val="004E0CC2"/>
    <w:rsid w:val="004F08CA"/>
    <w:rsid w:val="004F1FC8"/>
    <w:rsid w:val="00500C1D"/>
    <w:rsid w:val="0050353E"/>
    <w:rsid w:val="00503B0C"/>
    <w:rsid w:val="00507983"/>
    <w:rsid w:val="00512CFC"/>
    <w:rsid w:val="00520CD6"/>
    <w:rsid w:val="005271EB"/>
    <w:rsid w:val="00532F66"/>
    <w:rsid w:val="00545F3E"/>
    <w:rsid w:val="0054600F"/>
    <w:rsid w:val="00554026"/>
    <w:rsid w:val="00555607"/>
    <w:rsid w:val="00560ADB"/>
    <w:rsid w:val="005639AC"/>
    <w:rsid w:val="0056773A"/>
    <w:rsid w:val="00570AFB"/>
    <w:rsid w:val="00575071"/>
    <w:rsid w:val="005752A7"/>
    <w:rsid w:val="00585F5E"/>
    <w:rsid w:val="005A4FE9"/>
    <w:rsid w:val="005A5848"/>
    <w:rsid w:val="005A5F8C"/>
    <w:rsid w:val="005C235E"/>
    <w:rsid w:val="005C7293"/>
    <w:rsid w:val="005E0BC3"/>
    <w:rsid w:val="005F3D4E"/>
    <w:rsid w:val="005F440C"/>
    <w:rsid w:val="006051BD"/>
    <w:rsid w:val="00613498"/>
    <w:rsid w:val="0062121A"/>
    <w:rsid w:val="006234E9"/>
    <w:rsid w:val="00641F0B"/>
    <w:rsid w:val="0064556C"/>
    <w:rsid w:val="006478CF"/>
    <w:rsid w:val="00654432"/>
    <w:rsid w:val="00662024"/>
    <w:rsid w:val="00663A4A"/>
    <w:rsid w:val="00663A6A"/>
    <w:rsid w:val="00670FC6"/>
    <w:rsid w:val="00674D27"/>
    <w:rsid w:val="006840CE"/>
    <w:rsid w:val="00686037"/>
    <w:rsid w:val="006A0BBA"/>
    <w:rsid w:val="006A319C"/>
    <w:rsid w:val="006B1B00"/>
    <w:rsid w:val="006B20D9"/>
    <w:rsid w:val="006B3231"/>
    <w:rsid w:val="006C2FC5"/>
    <w:rsid w:val="006C30A3"/>
    <w:rsid w:val="006C4594"/>
    <w:rsid w:val="006C5CF1"/>
    <w:rsid w:val="006D1E9D"/>
    <w:rsid w:val="006D72F6"/>
    <w:rsid w:val="006F47DC"/>
    <w:rsid w:val="006F500D"/>
    <w:rsid w:val="006F560F"/>
    <w:rsid w:val="006F699E"/>
    <w:rsid w:val="007005AA"/>
    <w:rsid w:val="00700A91"/>
    <w:rsid w:val="00701EC6"/>
    <w:rsid w:val="007026E9"/>
    <w:rsid w:val="007045EC"/>
    <w:rsid w:val="00716F99"/>
    <w:rsid w:val="007176A8"/>
    <w:rsid w:val="0072401C"/>
    <w:rsid w:val="00743595"/>
    <w:rsid w:val="00750E6F"/>
    <w:rsid w:val="00750FD1"/>
    <w:rsid w:val="00754FC9"/>
    <w:rsid w:val="007609FF"/>
    <w:rsid w:val="00766318"/>
    <w:rsid w:val="00767EB2"/>
    <w:rsid w:val="00775034"/>
    <w:rsid w:val="0078046B"/>
    <w:rsid w:val="00786DAB"/>
    <w:rsid w:val="00793F58"/>
    <w:rsid w:val="007963A1"/>
    <w:rsid w:val="007B2A9E"/>
    <w:rsid w:val="007B600C"/>
    <w:rsid w:val="007C064C"/>
    <w:rsid w:val="007C4A0B"/>
    <w:rsid w:val="007D098D"/>
    <w:rsid w:val="007D0ED9"/>
    <w:rsid w:val="007E37FD"/>
    <w:rsid w:val="007E7C27"/>
    <w:rsid w:val="008005F6"/>
    <w:rsid w:val="0080084D"/>
    <w:rsid w:val="008011B2"/>
    <w:rsid w:val="00810695"/>
    <w:rsid w:val="008111C3"/>
    <w:rsid w:val="00813AA8"/>
    <w:rsid w:val="00815423"/>
    <w:rsid w:val="008154C1"/>
    <w:rsid w:val="00832038"/>
    <w:rsid w:val="00835621"/>
    <w:rsid w:val="00840728"/>
    <w:rsid w:val="008433DC"/>
    <w:rsid w:val="00847FB7"/>
    <w:rsid w:val="008541EB"/>
    <w:rsid w:val="00857E95"/>
    <w:rsid w:val="00862B62"/>
    <w:rsid w:val="008645DB"/>
    <w:rsid w:val="00871064"/>
    <w:rsid w:val="00871A1B"/>
    <w:rsid w:val="00882D86"/>
    <w:rsid w:val="00885485"/>
    <w:rsid w:val="00890D1C"/>
    <w:rsid w:val="00895DB9"/>
    <w:rsid w:val="00897B0E"/>
    <w:rsid w:val="008B6C78"/>
    <w:rsid w:val="008C0C2F"/>
    <w:rsid w:val="008E6B51"/>
    <w:rsid w:val="008F0AEB"/>
    <w:rsid w:val="00900FB1"/>
    <w:rsid w:val="00901BCC"/>
    <w:rsid w:val="009065A8"/>
    <w:rsid w:val="00912758"/>
    <w:rsid w:val="00931117"/>
    <w:rsid w:val="00946D4F"/>
    <w:rsid w:val="009623B4"/>
    <w:rsid w:val="00963312"/>
    <w:rsid w:val="0096546D"/>
    <w:rsid w:val="009811AA"/>
    <w:rsid w:val="00986AA8"/>
    <w:rsid w:val="00994E4C"/>
    <w:rsid w:val="00996757"/>
    <w:rsid w:val="009A551E"/>
    <w:rsid w:val="009C2461"/>
    <w:rsid w:val="009C676B"/>
    <w:rsid w:val="009E7599"/>
    <w:rsid w:val="009F0453"/>
    <w:rsid w:val="009F7B3B"/>
    <w:rsid w:val="00A00D82"/>
    <w:rsid w:val="00A0775A"/>
    <w:rsid w:val="00A07C41"/>
    <w:rsid w:val="00A11EBC"/>
    <w:rsid w:val="00A2097D"/>
    <w:rsid w:val="00A245F1"/>
    <w:rsid w:val="00A254E8"/>
    <w:rsid w:val="00A26253"/>
    <w:rsid w:val="00A3320F"/>
    <w:rsid w:val="00A34097"/>
    <w:rsid w:val="00A350FD"/>
    <w:rsid w:val="00A375C1"/>
    <w:rsid w:val="00A42F96"/>
    <w:rsid w:val="00A442E4"/>
    <w:rsid w:val="00A46209"/>
    <w:rsid w:val="00A46C99"/>
    <w:rsid w:val="00A5495C"/>
    <w:rsid w:val="00A549EB"/>
    <w:rsid w:val="00A62B51"/>
    <w:rsid w:val="00A709F2"/>
    <w:rsid w:val="00A80E6C"/>
    <w:rsid w:val="00A81C04"/>
    <w:rsid w:val="00A91852"/>
    <w:rsid w:val="00A931AC"/>
    <w:rsid w:val="00A95A44"/>
    <w:rsid w:val="00A966DF"/>
    <w:rsid w:val="00A9752C"/>
    <w:rsid w:val="00AB25FB"/>
    <w:rsid w:val="00AD7D07"/>
    <w:rsid w:val="00AE6FF4"/>
    <w:rsid w:val="00AF27BC"/>
    <w:rsid w:val="00AF5091"/>
    <w:rsid w:val="00B14C4B"/>
    <w:rsid w:val="00B45144"/>
    <w:rsid w:val="00B5121A"/>
    <w:rsid w:val="00B51F6E"/>
    <w:rsid w:val="00B54C8D"/>
    <w:rsid w:val="00B60E02"/>
    <w:rsid w:val="00B64413"/>
    <w:rsid w:val="00B75843"/>
    <w:rsid w:val="00B75F86"/>
    <w:rsid w:val="00B81A8D"/>
    <w:rsid w:val="00B82A25"/>
    <w:rsid w:val="00B830CF"/>
    <w:rsid w:val="00B847D8"/>
    <w:rsid w:val="00B8601D"/>
    <w:rsid w:val="00B95A51"/>
    <w:rsid w:val="00BA0D11"/>
    <w:rsid w:val="00BA3925"/>
    <w:rsid w:val="00BA786D"/>
    <w:rsid w:val="00BC536A"/>
    <w:rsid w:val="00BC6B06"/>
    <w:rsid w:val="00BD7F83"/>
    <w:rsid w:val="00BF0D7D"/>
    <w:rsid w:val="00BF7765"/>
    <w:rsid w:val="00C0062A"/>
    <w:rsid w:val="00C00A6D"/>
    <w:rsid w:val="00C059C7"/>
    <w:rsid w:val="00C12073"/>
    <w:rsid w:val="00C227A6"/>
    <w:rsid w:val="00C27D0B"/>
    <w:rsid w:val="00C327B4"/>
    <w:rsid w:val="00C407AF"/>
    <w:rsid w:val="00C4511A"/>
    <w:rsid w:val="00C55EEE"/>
    <w:rsid w:val="00C56DFE"/>
    <w:rsid w:val="00C571AD"/>
    <w:rsid w:val="00C62048"/>
    <w:rsid w:val="00C63255"/>
    <w:rsid w:val="00C649D2"/>
    <w:rsid w:val="00C77E6C"/>
    <w:rsid w:val="00C964BA"/>
    <w:rsid w:val="00C974F3"/>
    <w:rsid w:val="00CA1B66"/>
    <w:rsid w:val="00CC475E"/>
    <w:rsid w:val="00CD1CE3"/>
    <w:rsid w:val="00CE2AA9"/>
    <w:rsid w:val="00CE4317"/>
    <w:rsid w:val="00CF766B"/>
    <w:rsid w:val="00D06490"/>
    <w:rsid w:val="00D07715"/>
    <w:rsid w:val="00D11208"/>
    <w:rsid w:val="00D12913"/>
    <w:rsid w:val="00D13D51"/>
    <w:rsid w:val="00D203D2"/>
    <w:rsid w:val="00D252F7"/>
    <w:rsid w:val="00D34004"/>
    <w:rsid w:val="00D366B1"/>
    <w:rsid w:val="00D420A8"/>
    <w:rsid w:val="00D444CD"/>
    <w:rsid w:val="00D45363"/>
    <w:rsid w:val="00D53BBE"/>
    <w:rsid w:val="00D55FA4"/>
    <w:rsid w:val="00D56DF7"/>
    <w:rsid w:val="00D75731"/>
    <w:rsid w:val="00D76E58"/>
    <w:rsid w:val="00D85F44"/>
    <w:rsid w:val="00D919AF"/>
    <w:rsid w:val="00DA0742"/>
    <w:rsid w:val="00DA15AD"/>
    <w:rsid w:val="00DA5B0A"/>
    <w:rsid w:val="00DB5AB4"/>
    <w:rsid w:val="00DC140C"/>
    <w:rsid w:val="00DD1E83"/>
    <w:rsid w:val="00DD7890"/>
    <w:rsid w:val="00DE0A53"/>
    <w:rsid w:val="00E01EF9"/>
    <w:rsid w:val="00E04BB2"/>
    <w:rsid w:val="00E136D5"/>
    <w:rsid w:val="00E40DAF"/>
    <w:rsid w:val="00E44F8D"/>
    <w:rsid w:val="00E45980"/>
    <w:rsid w:val="00E5510F"/>
    <w:rsid w:val="00E61276"/>
    <w:rsid w:val="00E626F5"/>
    <w:rsid w:val="00E713D2"/>
    <w:rsid w:val="00E8789A"/>
    <w:rsid w:val="00E93887"/>
    <w:rsid w:val="00EB5B70"/>
    <w:rsid w:val="00EC2E32"/>
    <w:rsid w:val="00EC3E7E"/>
    <w:rsid w:val="00EC7FC0"/>
    <w:rsid w:val="00ED0695"/>
    <w:rsid w:val="00ED0FF0"/>
    <w:rsid w:val="00ED48C3"/>
    <w:rsid w:val="00EF0083"/>
    <w:rsid w:val="00EF0097"/>
    <w:rsid w:val="00EF20EA"/>
    <w:rsid w:val="00F12085"/>
    <w:rsid w:val="00F166B9"/>
    <w:rsid w:val="00F2641F"/>
    <w:rsid w:val="00F27623"/>
    <w:rsid w:val="00F40104"/>
    <w:rsid w:val="00F450FB"/>
    <w:rsid w:val="00F56542"/>
    <w:rsid w:val="00F618A1"/>
    <w:rsid w:val="00F65CC4"/>
    <w:rsid w:val="00F7102F"/>
    <w:rsid w:val="00F72250"/>
    <w:rsid w:val="00F74EFC"/>
    <w:rsid w:val="00F817CA"/>
    <w:rsid w:val="00F82278"/>
    <w:rsid w:val="00FA1138"/>
    <w:rsid w:val="00FA199F"/>
    <w:rsid w:val="00FB2B27"/>
    <w:rsid w:val="00FB5A7B"/>
    <w:rsid w:val="00FE41DA"/>
    <w:rsid w:val="00FF17E5"/>
    <w:rsid w:val="00FF7795"/>
    <w:rsid w:val="00FF7BD7"/>
    <w:rsid w:val="1A2C1C55"/>
    <w:rsid w:val="23A67898"/>
    <w:rsid w:val="42140B6C"/>
    <w:rsid w:val="65FC0227"/>
    <w:rsid w:val="6C7345B5"/>
    <w:rsid w:val="7151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24F7E7"/>
  <w15:docId w15:val="{A3559289-A628-420B-ABE1-2DB9FA3CA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  <w:ind w:left="10" w:hanging="10"/>
    </w:pPr>
    <w:rPr>
      <w:rFonts w:ascii="Arial" w:eastAsia="Arial" w:hAnsi="Arial" w:cs="Arial"/>
      <w:color w:val="000000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spacing w:before="340" w:after="330" w:line="578" w:lineRule="auto"/>
      <w:ind w:left="0" w:firstLine="0"/>
      <w:jc w:val="both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pPr>
      <w:spacing w:after="100" w:line="259" w:lineRule="auto"/>
      <w:ind w:left="44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spacing w:after="100" w:line="259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TOC2">
    <w:name w:val="toc 2"/>
    <w:basedOn w:val="a"/>
    <w:next w:val="a"/>
    <w:uiPriority w:val="39"/>
    <w:unhideWhenUsed/>
    <w:pPr>
      <w:spacing w:after="100" w:line="259" w:lineRule="auto"/>
      <w:ind w:left="22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0">
    <w:name w:val="line number"/>
    <w:basedOn w:val="a0"/>
    <w:uiPriority w:val="99"/>
    <w:semiHidden/>
    <w:unhideWhenUsed/>
    <w:qFormat/>
  </w:style>
  <w:style w:type="character" w:styleId="af1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Pr>
      <w:rFonts w:ascii="Arial" w:eastAsia="Arial" w:hAnsi="Arial" w:cs="Arial"/>
      <w:b/>
      <w:bCs/>
      <w:color w:val="000000"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Arial" w:eastAsia="Arial" w:hAnsi="Arial" w:cs="Arial"/>
      <w:color w:val="00000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Arial" w:eastAsia="Arial" w:hAnsi="Arial" w:cs="Arial"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spacing w:after="0"/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Arial" w:eastAsia="Arial" w:hAnsi="Arial" w:cs="Arial"/>
      <w:color w:val="000000"/>
      <w:sz w:val="20"/>
    </w:rPr>
  </w:style>
  <w:style w:type="paragraph" w:customStyle="1" w:styleId="EndNoteBibliography">
    <w:name w:val="EndNote Bibliography"/>
    <w:basedOn w:val="a"/>
    <w:link w:val="EndNoteBibliography0"/>
    <w:qFormat/>
    <w:pPr>
      <w:spacing w:line="240" w:lineRule="auto"/>
    </w:pPr>
  </w:style>
  <w:style w:type="character" w:customStyle="1" w:styleId="EndNoteBibliography0">
    <w:name w:val="EndNote Bibliography 字符"/>
    <w:basedOn w:val="a0"/>
    <w:link w:val="EndNoteBibliography"/>
    <w:qFormat/>
    <w:rPr>
      <w:rFonts w:ascii="Arial" w:eastAsia="Arial" w:hAnsi="Arial" w:cs="Arial"/>
      <w:color w:val="000000"/>
      <w:sz w:val="20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No Spacing"/>
    <w:link w:val="af4"/>
    <w:uiPriority w:val="1"/>
    <w:qFormat/>
    <w:pPr>
      <w:spacing w:after="200" w:line="276" w:lineRule="auto"/>
      <w:ind w:left="10" w:hanging="10"/>
    </w:pPr>
    <w:rPr>
      <w:rFonts w:ascii="Arial" w:eastAsia="Arial" w:hAnsi="Arial" w:cs="Arial"/>
      <w:color w:val="000000"/>
      <w:kern w:val="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Arial" w:eastAsia="Arial" w:hAnsi="Arial" w:cs="Arial"/>
      <w:color w:val="000000"/>
      <w:sz w:val="18"/>
      <w:szCs w:val="18"/>
    </w:rPr>
  </w:style>
  <w:style w:type="paragraph" w:styleId="af5">
    <w:name w:val="List Paragraph"/>
    <w:basedOn w:val="a"/>
    <w:uiPriority w:val="34"/>
    <w:qFormat/>
    <w:pPr>
      <w:widowControl w:val="0"/>
      <w:spacing w:after="0" w:line="240" w:lineRule="auto"/>
      <w:ind w:left="0"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character" w:customStyle="1" w:styleId="EndNoteBibliographyTitleChar">
    <w:name w:val="EndNote Bibliography Title Char"/>
    <w:basedOn w:val="a0"/>
    <w:rPr>
      <w:rFonts w:ascii="Arial" w:hAnsi="Arial" w:cs="Arial"/>
      <w:sz w:val="18"/>
    </w:rPr>
  </w:style>
  <w:style w:type="character" w:customStyle="1" w:styleId="EndNoteBibliographyChar">
    <w:name w:val="EndNote Bibliography Char"/>
    <w:basedOn w:val="a0"/>
    <w:rPr>
      <w:rFonts w:ascii="Arial" w:hAnsi="Arial" w:cs="Arial"/>
      <w:sz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ITC Franklin Gothic Std Med" w:eastAsia="ITC Franklin Gothic Std Med" w:cs="ITC Franklin Gothic Std Med"/>
      <w:color w:val="000000"/>
      <w:sz w:val="24"/>
      <w:szCs w:val="24"/>
    </w:rPr>
  </w:style>
  <w:style w:type="character" w:customStyle="1" w:styleId="highlight">
    <w:name w:val="highlight"/>
    <w:basedOn w:val="a0"/>
    <w:qFormat/>
  </w:style>
  <w:style w:type="character" w:customStyle="1" w:styleId="src">
    <w:name w:val="src"/>
    <w:basedOn w:val="a0"/>
    <w:qFormat/>
  </w:style>
  <w:style w:type="character" w:customStyle="1" w:styleId="apple-converted-space">
    <w:name w:val="apple-converted-space"/>
    <w:basedOn w:val="a0"/>
    <w:qFormat/>
  </w:style>
  <w:style w:type="paragraph" w:customStyle="1" w:styleId="msonormal0">
    <w:name w:val="msonormal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customStyle="1" w:styleId="font5">
    <w:name w:val="font5"/>
    <w:basedOn w:val="a"/>
    <w:qFormat/>
    <w:pPr>
      <w:spacing w:before="100" w:beforeAutospacing="1" w:after="100" w:afterAutospacing="1" w:line="240" w:lineRule="auto"/>
      <w:ind w:left="0" w:firstLine="0"/>
    </w:pPr>
    <w:rPr>
      <w:rFonts w:ascii="等线" w:eastAsia="等线" w:hAnsi="等线" w:cs="宋体"/>
      <w:color w:val="auto"/>
      <w:kern w:val="0"/>
      <w:sz w:val="18"/>
      <w:szCs w:val="18"/>
    </w:rPr>
  </w:style>
  <w:style w:type="paragraph" w:customStyle="1" w:styleId="xl65">
    <w:name w:val="xl65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6">
    <w:name w:val="xl66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7">
    <w:name w:val="xl67"/>
    <w:basedOn w:val="a"/>
    <w:qFormat/>
    <w:pPr>
      <w:spacing w:before="100" w:beforeAutospacing="1" w:after="100" w:afterAutospacing="1" w:line="240" w:lineRule="auto"/>
      <w:ind w:left="0" w:firstLine="0"/>
      <w:jc w:val="center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8">
    <w:name w:val="xl68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69">
    <w:name w:val="xl69"/>
    <w:basedOn w:val="a"/>
    <w:qFormat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70">
    <w:name w:val="xl70"/>
    <w:basedOn w:val="a"/>
    <w:qFormat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paragraph" w:customStyle="1" w:styleId="xl71">
    <w:name w:val="xl71"/>
    <w:basedOn w:val="a"/>
    <w:qFormat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Arial" w:eastAsia="Arial" w:hAnsi="Arial" w:cs="Arial"/>
      <w:color w:val="000000"/>
      <w:sz w:val="20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Arial" w:eastAsia="Arial" w:hAnsi="Arial" w:cs="Arial"/>
      <w:b/>
      <w:bCs/>
      <w:color w:val="000000"/>
      <w:sz w:val="20"/>
    </w:rPr>
  </w:style>
  <w:style w:type="character" w:customStyle="1" w:styleId="af4">
    <w:name w:val="无间隔 字符"/>
    <w:basedOn w:val="a0"/>
    <w:link w:val="af3"/>
    <w:uiPriority w:val="1"/>
    <w:qFormat/>
    <w:rPr>
      <w:rFonts w:ascii="Arial" w:eastAsia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7C82EC-A2DD-4469-ABFD-F706B52B6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7</Pages>
  <Words>1105</Words>
  <Characters>6304</Characters>
  <Application>Microsoft Office Word</Application>
  <DocSecurity>0</DocSecurity>
  <Lines>52</Lines>
  <Paragraphs>14</Paragraphs>
  <ScaleCrop>false</ScaleCrop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子平</dc:creator>
  <cp:lastModifiedBy>李子平</cp:lastModifiedBy>
  <cp:revision>8</cp:revision>
  <dcterms:created xsi:type="dcterms:W3CDTF">2022-06-06T07:41:00Z</dcterms:created>
  <dcterms:modified xsi:type="dcterms:W3CDTF">2022-06-06T10:55:00Z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B3C637578DE44FE1A4A2187806DD5DEF</vt:lpwstr>
  </property>
</Properties>
</file>