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109" w:rsidRDefault="00976109" w:rsidP="00976109">
      <w:pPr>
        <w:rPr>
          <w:rFonts w:ascii="Times New Roman" w:hAnsi="Times New Roman"/>
          <w:b/>
          <w:bCs/>
          <w:color w:val="000000"/>
          <w:kern w:val="0"/>
          <w:sz w:val="28"/>
          <w:szCs w:val="28"/>
        </w:rPr>
      </w:pPr>
      <w:r>
        <w:rPr>
          <w:rFonts w:ascii="Times New Roman" w:hAnsi="Times New Roman"/>
          <w:b/>
          <w:bCs/>
          <w:color w:val="000000"/>
          <w:kern w:val="0"/>
          <w:sz w:val="28"/>
          <w:szCs w:val="28"/>
        </w:rPr>
        <w:t xml:space="preserve">Supplementary </w:t>
      </w:r>
      <w:r>
        <w:rPr>
          <w:rFonts w:ascii="Times New Roman" w:hAnsi="Times New Roman" w:hint="eastAsia"/>
          <w:b/>
          <w:bCs/>
          <w:color w:val="000000"/>
          <w:kern w:val="0"/>
          <w:sz w:val="28"/>
          <w:szCs w:val="28"/>
        </w:rPr>
        <w:t>material</w:t>
      </w:r>
    </w:p>
    <w:p w:rsidR="00976109" w:rsidRDefault="00976109" w:rsidP="00976109">
      <w:pPr>
        <w:rPr>
          <w:rFonts w:ascii="Times New Roman" w:hAnsi="Times New Roman"/>
          <w:b/>
          <w:bCs/>
          <w:color w:val="000000"/>
          <w:kern w:val="0"/>
          <w:sz w:val="24"/>
          <w:szCs w:val="28"/>
        </w:rPr>
      </w:pPr>
      <w:r>
        <w:rPr>
          <w:rFonts w:ascii="Times New Roman" w:hAnsi="Times New Roman"/>
          <w:b/>
          <w:bCs/>
          <w:color w:val="000000"/>
          <w:kern w:val="0"/>
          <w:sz w:val="24"/>
          <w:szCs w:val="28"/>
        </w:rPr>
        <w:t>Drug sensitivity and working concentration of Fer</w:t>
      </w:r>
      <w:r>
        <w:rPr>
          <w:rFonts w:ascii="Times New Roman" w:hAnsi="Times New Roman" w:hint="eastAsia"/>
          <w:b/>
          <w:bCs/>
          <w:color w:val="000000"/>
          <w:kern w:val="0"/>
          <w:sz w:val="24"/>
          <w:szCs w:val="28"/>
        </w:rPr>
        <w:t>-</w:t>
      </w:r>
      <w:r>
        <w:rPr>
          <w:rFonts w:ascii="Times New Roman" w:hAnsi="Times New Roman"/>
          <w:b/>
          <w:bCs/>
          <w:color w:val="000000"/>
          <w:kern w:val="0"/>
          <w:sz w:val="24"/>
          <w:szCs w:val="28"/>
        </w:rPr>
        <w:t>1 against PC12 cells</w:t>
      </w:r>
    </w:p>
    <w:p w:rsidR="00976109" w:rsidRDefault="00976109" w:rsidP="00976109">
      <w:pPr>
        <w:rPr>
          <w:rFonts w:ascii="Times New Roman" w:hAnsi="Times New Roman"/>
          <w:bCs/>
          <w:color w:val="000000"/>
          <w:kern w:val="0"/>
          <w:sz w:val="24"/>
          <w:szCs w:val="28"/>
        </w:rPr>
      </w:pPr>
      <w:r>
        <w:rPr>
          <w:rFonts w:ascii="Times New Roman" w:hAnsi="Times New Roman" w:hint="eastAsia"/>
          <w:bCs/>
          <w:color w:val="000000"/>
          <w:kern w:val="0"/>
          <w:sz w:val="24"/>
          <w:szCs w:val="28"/>
        </w:rPr>
        <w:t>PC12 cells were treated with Fer-1 at various concentrations for 24h, and the viability of PC12 cells was significantly decreased with the increase of Fer-1 concentration (</w:t>
      </w:r>
      <w:r>
        <w:rPr>
          <w:rFonts w:ascii="Times New Roman" w:hAnsi="Times New Roman" w:hint="eastAsia"/>
          <w:bCs/>
          <w:color w:val="000000"/>
          <w:kern w:val="0"/>
          <w:sz w:val="24"/>
          <w:szCs w:val="28"/>
        </w:rPr>
        <w:t>≥</w:t>
      </w:r>
      <w:r>
        <w:rPr>
          <w:rFonts w:ascii="Times New Roman" w:hAnsi="Times New Roman" w:hint="eastAsia"/>
          <w:bCs/>
          <w:color w:val="000000"/>
          <w:kern w:val="0"/>
          <w:sz w:val="24"/>
          <w:szCs w:val="28"/>
        </w:rPr>
        <w:t xml:space="preserve">40mM), and the difference was statistically significant </w:t>
      </w:r>
      <w:r>
        <w:rPr>
          <w:rFonts w:ascii="Times New Roman" w:hAnsi="Times New Roman"/>
          <w:bCs/>
          <w:color w:val="000000"/>
          <w:kern w:val="0"/>
          <w:sz w:val="24"/>
          <w:szCs w:val="28"/>
        </w:rPr>
        <w:t>compared with the control group (P&lt;0.05)</w:t>
      </w:r>
      <w:r>
        <w:rPr>
          <w:rFonts w:ascii="Times New Roman" w:hAnsi="Times New Roman" w:hint="eastAsia"/>
          <w:bCs/>
          <w:color w:val="000000"/>
          <w:kern w:val="0"/>
          <w:sz w:val="24"/>
          <w:szCs w:val="28"/>
        </w:rPr>
        <w:t xml:space="preserve"> (</w:t>
      </w:r>
      <w:r>
        <w:rPr>
          <w:rFonts w:ascii="Times New Roman" w:hAnsi="Times New Roman"/>
          <w:bCs/>
          <w:color w:val="000000"/>
          <w:kern w:val="0"/>
          <w:sz w:val="24"/>
          <w:szCs w:val="28"/>
        </w:rPr>
        <w:t xml:space="preserve">Figure </w:t>
      </w:r>
      <w:r>
        <w:rPr>
          <w:rFonts w:ascii="Times New Roman" w:hAnsi="Times New Roman" w:hint="eastAsia"/>
          <w:bCs/>
          <w:color w:val="000000"/>
          <w:kern w:val="0"/>
          <w:sz w:val="24"/>
          <w:szCs w:val="28"/>
        </w:rPr>
        <w:t>S1a)</w:t>
      </w:r>
      <w:r>
        <w:rPr>
          <w:rFonts w:ascii="Times New Roman" w:hAnsi="Times New Roman"/>
          <w:bCs/>
          <w:color w:val="000000"/>
          <w:kern w:val="0"/>
          <w:sz w:val="24"/>
          <w:szCs w:val="28"/>
        </w:rPr>
        <w:t xml:space="preserve">. Figure </w:t>
      </w:r>
      <w:r>
        <w:rPr>
          <w:rFonts w:ascii="Times New Roman" w:hAnsi="Times New Roman" w:hint="eastAsia"/>
          <w:bCs/>
          <w:color w:val="000000"/>
          <w:kern w:val="0"/>
          <w:sz w:val="24"/>
          <w:szCs w:val="28"/>
        </w:rPr>
        <w:t>S1b</w:t>
      </w:r>
      <w:r>
        <w:rPr>
          <w:rFonts w:ascii="Times New Roman" w:hAnsi="Times New Roman"/>
          <w:bCs/>
          <w:color w:val="000000"/>
          <w:kern w:val="0"/>
          <w:sz w:val="24"/>
          <w:szCs w:val="28"/>
        </w:rPr>
        <w:t xml:space="preserve"> shows the effect of low Fer</w:t>
      </w:r>
      <w:r>
        <w:rPr>
          <w:rFonts w:ascii="Times New Roman" w:hAnsi="Times New Roman" w:hint="eastAsia"/>
          <w:bCs/>
          <w:color w:val="000000"/>
          <w:kern w:val="0"/>
          <w:sz w:val="24"/>
          <w:szCs w:val="28"/>
        </w:rPr>
        <w:t>-</w:t>
      </w:r>
      <w:r>
        <w:rPr>
          <w:rFonts w:ascii="Times New Roman" w:hAnsi="Times New Roman"/>
          <w:bCs/>
          <w:color w:val="000000"/>
          <w:kern w:val="0"/>
          <w:sz w:val="24"/>
          <w:szCs w:val="28"/>
        </w:rPr>
        <w:t>1 concentration on PC12 cell viability induced by Aβ</w:t>
      </w:r>
      <w:r>
        <w:rPr>
          <w:rFonts w:ascii="Times New Roman" w:hAnsi="Times New Roman"/>
          <w:bCs/>
          <w:color w:val="000000"/>
          <w:kern w:val="0"/>
          <w:sz w:val="24"/>
          <w:szCs w:val="28"/>
          <w:vertAlign w:val="subscript"/>
        </w:rPr>
        <w:t>25-35</w:t>
      </w:r>
      <w:r>
        <w:rPr>
          <w:rFonts w:ascii="Times New Roman" w:hAnsi="Times New Roman"/>
          <w:bCs/>
          <w:color w:val="000000"/>
          <w:kern w:val="0"/>
          <w:sz w:val="24"/>
          <w:szCs w:val="28"/>
        </w:rPr>
        <w:t>. When Fer</w:t>
      </w:r>
      <w:r>
        <w:rPr>
          <w:rFonts w:ascii="Times New Roman" w:hAnsi="Times New Roman" w:hint="eastAsia"/>
          <w:bCs/>
          <w:color w:val="000000"/>
          <w:kern w:val="0"/>
          <w:sz w:val="24"/>
          <w:szCs w:val="28"/>
        </w:rPr>
        <w:t>-</w:t>
      </w:r>
      <w:r>
        <w:rPr>
          <w:rFonts w:ascii="Times New Roman" w:hAnsi="Times New Roman"/>
          <w:bCs/>
          <w:color w:val="000000"/>
          <w:kern w:val="0"/>
          <w:sz w:val="24"/>
          <w:szCs w:val="28"/>
        </w:rPr>
        <w:t>1 concentration was 5μmM, PC12 cell viability was significantly increased compared to the model group, and the difference was statistically significant (P&lt;0.05).</w:t>
      </w:r>
    </w:p>
    <w:p w:rsidR="00976109" w:rsidRDefault="00976109" w:rsidP="00976109">
      <w:pPr>
        <w:rPr>
          <w:rFonts w:ascii="Times New Roman" w:hAnsi="Times New Roman"/>
          <w:bCs/>
          <w:color w:val="000000"/>
          <w:kern w:val="0"/>
          <w:sz w:val="24"/>
          <w:szCs w:val="28"/>
        </w:rPr>
      </w:pPr>
      <w:r>
        <w:rPr>
          <w:rFonts w:ascii="Times New Roman" w:hAnsi="Times New Roman"/>
          <w:bCs/>
          <w:noProof/>
          <w:color w:val="000000"/>
          <w:kern w:val="0"/>
          <w:sz w:val="24"/>
          <w:szCs w:val="28"/>
          <w:lang w:eastAsia="en-US"/>
        </w:rPr>
        <w:drawing>
          <wp:inline distT="0" distB="0" distL="0" distR="0" wp14:anchorId="0C3EE63C" wp14:editId="64133096">
            <wp:extent cx="5278120" cy="1927860"/>
            <wp:effectExtent l="0" t="0" r="5080" b="2540"/>
            <wp:docPr id="1" name="图片 1" descr="E:\论文 新\实验计划\硕士投稿\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论文 新\实验计划\硕士投稿\S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8120" cy="1928202"/>
                    </a:xfrm>
                    <a:prstGeom prst="rect">
                      <a:avLst/>
                    </a:prstGeom>
                    <a:noFill/>
                    <a:ln>
                      <a:noFill/>
                    </a:ln>
                  </pic:spPr>
                </pic:pic>
              </a:graphicData>
            </a:graphic>
          </wp:inline>
        </w:drawing>
      </w:r>
    </w:p>
    <w:p w:rsidR="00976109" w:rsidRDefault="00976109" w:rsidP="00976109">
      <w:pPr>
        <w:rPr>
          <w:rFonts w:ascii="Times New Roman" w:hAnsi="Times New Roman"/>
          <w:bCs/>
          <w:color w:val="000000"/>
          <w:kern w:val="0"/>
          <w:szCs w:val="28"/>
        </w:rPr>
      </w:pPr>
      <w:r>
        <w:rPr>
          <w:rFonts w:ascii="Times New Roman" w:hAnsi="Times New Roman"/>
          <w:bCs/>
          <w:color w:val="000000"/>
          <w:kern w:val="0"/>
          <w:szCs w:val="28"/>
        </w:rPr>
        <w:t>Figure</w:t>
      </w:r>
      <w:r>
        <w:rPr>
          <w:rFonts w:ascii="Times New Roman" w:hAnsi="Times New Roman" w:hint="eastAsia"/>
          <w:bCs/>
          <w:color w:val="000000"/>
          <w:kern w:val="0"/>
          <w:szCs w:val="28"/>
        </w:rPr>
        <w:t xml:space="preserve"> S1. a: </w:t>
      </w:r>
      <w:r>
        <w:rPr>
          <w:rFonts w:ascii="Times New Roman" w:hAnsi="Times New Roman"/>
          <w:bCs/>
          <w:color w:val="000000"/>
          <w:kern w:val="0"/>
          <w:szCs w:val="28"/>
        </w:rPr>
        <w:t>The cell viability of PC12 cells subjected to different concentrations of Fer-1 by CKK8 assay</w:t>
      </w:r>
      <w:r>
        <w:rPr>
          <w:rFonts w:ascii="Times New Roman" w:hAnsi="Times New Roman" w:hint="eastAsia"/>
          <w:bCs/>
          <w:color w:val="000000"/>
          <w:kern w:val="0"/>
          <w:szCs w:val="28"/>
        </w:rPr>
        <w:t>; b</w:t>
      </w:r>
      <w:r>
        <w:rPr>
          <w:rFonts w:ascii="Times New Roman" w:hAnsi="Times New Roman"/>
          <w:bCs/>
          <w:color w:val="000000"/>
          <w:kern w:val="0"/>
          <w:szCs w:val="28"/>
        </w:rPr>
        <w:t>: Effects of different concentrations of Fer-1 on the viability of PC12 cells induced by Aβ</w:t>
      </w:r>
      <w:r>
        <w:rPr>
          <w:rFonts w:ascii="Times New Roman" w:hAnsi="Times New Roman"/>
          <w:bCs/>
          <w:color w:val="000000"/>
          <w:kern w:val="0"/>
          <w:szCs w:val="28"/>
          <w:vertAlign w:val="subscript"/>
        </w:rPr>
        <w:t>25-35</w:t>
      </w:r>
      <w:r>
        <w:rPr>
          <w:rFonts w:ascii="Times New Roman" w:hAnsi="Times New Roman"/>
          <w:bCs/>
          <w:color w:val="000000"/>
          <w:kern w:val="0"/>
          <w:szCs w:val="28"/>
        </w:rPr>
        <w:t xml:space="preserve"> by CKK8 assay. Data are mean ± SEM from three independent experiments.*P&lt;0.05 vs. control, #P&lt;0.05 vs model group.</w:t>
      </w:r>
    </w:p>
    <w:p w:rsidR="00976109" w:rsidRDefault="00976109" w:rsidP="00976109">
      <w:pPr>
        <w:rPr>
          <w:rFonts w:ascii="Times New Roman" w:hAnsi="Times New Roman"/>
          <w:bCs/>
          <w:color w:val="000000"/>
          <w:kern w:val="0"/>
          <w:sz w:val="24"/>
          <w:szCs w:val="28"/>
        </w:rPr>
      </w:pPr>
    </w:p>
    <w:p w:rsidR="00976109" w:rsidRDefault="00976109" w:rsidP="00976109">
      <w:pPr>
        <w:rPr>
          <w:rFonts w:ascii="Times New Roman" w:hAnsi="Times New Roman"/>
          <w:b/>
          <w:bCs/>
          <w:color w:val="000000"/>
          <w:kern w:val="0"/>
          <w:sz w:val="24"/>
          <w:szCs w:val="28"/>
        </w:rPr>
      </w:pPr>
      <w:r>
        <w:rPr>
          <w:rFonts w:ascii="Times New Roman" w:hAnsi="Times New Roman"/>
          <w:b/>
          <w:bCs/>
          <w:color w:val="000000"/>
          <w:kern w:val="0"/>
          <w:sz w:val="24"/>
          <w:szCs w:val="28"/>
        </w:rPr>
        <w:t>Drug sensitivity and working concentration of S</w:t>
      </w:r>
      <w:r>
        <w:rPr>
          <w:rFonts w:ascii="Times New Roman" w:hAnsi="Times New Roman" w:hint="eastAsia"/>
          <w:b/>
          <w:bCs/>
          <w:color w:val="000000"/>
          <w:kern w:val="0"/>
          <w:sz w:val="24"/>
          <w:szCs w:val="28"/>
        </w:rPr>
        <w:t>en</w:t>
      </w:r>
      <w:r>
        <w:rPr>
          <w:rFonts w:ascii="Times New Roman" w:hAnsi="Times New Roman"/>
          <w:b/>
          <w:bCs/>
          <w:color w:val="000000"/>
          <w:kern w:val="0"/>
          <w:sz w:val="24"/>
          <w:szCs w:val="28"/>
        </w:rPr>
        <w:t xml:space="preserve"> in PC12 cells</w:t>
      </w:r>
    </w:p>
    <w:p w:rsidR="00976109" w:rsidRDefault="00976109" w:rsidP="00976109">
      <w:pPr>
        <w:rPr>
          <w:rFonts w:ascii="Times New Roman" w:hAnsi="Times New Roman"/>
          <w:bCs/>
          <w:color w:val="000000"/>
          <w:kern w:val="0"/>
          <w:sz w:val="24"/>
          <w:szCs w:val="28"/>
        </w:rPr>
      </w:pPr>
      <w:r>
        <w:rPr>
          <w:rFonts w:ascii="Times New Roman" w:hAnsi="Times New Roman" w:hint="eastAsia"/>
          <w:bCs/>
          <w:color w:val="000000"/>
          <w:kern w:val="0"/>
          <w:sz w:val="24"/>
          <w:szCs w:val="28"/>
        </w:rPr>
        <w:t>After treated with various dose of Sen for 24h, the cell viability of PC12 cells was promoted by low concentration and inhibited by high concentration of Sen. With the further increase of Sen concentration (</w:t>
      </w:r>
      <w:r>
        <w:rPr>
          <w:rFonts w:ascii="Times New Roman" w:hAnsi="Times New Roman" w:hint="eastAsia"/>
          <w:bCs/>
          <w:color w:val="000000"/>
          <w:kern w:val="0"/>
          <w:sz w:val="24"/>
          <w:szCs w:val="28"/>
        </w:rPr>
        <w:t>≥</w:t>
      </w:r>
      <w:r>
        <w:rPr>
          <w:rFonts w:ascii="Times New Roman" w:hAnsi="Times New Roman" w:hint="eastAsia"/>
          <w:bCs/>
          <w:color w:val="000000"/>
          <w:kern w:val="0"/>
          <w:sz w:val="24"/>
          <w:szCs w:val="28"/>
        </w:rPr>
        <w:t xml:space="preserve">480 </w:t>
      </w:r>
      <w:r>
        <w:rPr>
          <w:rFonts w:cs="Calibri"/>
          <w:bCs/>
          <w:color w:val="000000"/>
          <w:kern w:val="0"/>
          <w:sz w:val="24"/>
          <w:szCs w:val="28"/>
        </w:rPr>
        <w:t>μ</w:t>
      </w:r>
      <w:r>
        <w:rPr>
          <w:rFonts w:ascii="Times New Roman" w:hAnsi="Times New Roman" w:hint="eastAsia"/>
          <w:bCs/>
          <w:color w:val="000000"/>
          <w:kern w:val="0"/>
          <w:sz w:val="24"/>
          <w:szCs w:val="28"/>
        </w:rPr>
        <w:t xml:space="preserve">M), the cell viability of PC12 cells </w:t>
      </w:r>
      <w:r>
        <w:rPr>
          <w:rFonts w:ascii="Times New Roman" w:hAnsi="Times New Roman"/>
          <w:bCs/>
          <w:color w:val="000000"/>
          <w:kern w:val="0"/>
          <w:sz w:val="24"/>
          <w:szCs w:val="28"/>
        </w:rPr>
        <w:t>was significantly decreased, and the difference was statistically significant compared with the control group (P&lt;0.05)</w:t>
      </w:r>
      <w:r>
        <w:rPr>
          <w:rFonts w:ascii="Times New Roman" w:hAnsi="Times New Roman" w:hint="eastAsia"/>
          <w:bCs/>
          <w:color w:val="000000"/>
          <w:kern w:val="0"/>
          <w:sz w:val="24"/>
          <w:szCs w:val="28"/>
        </w:rPr>
        <w:t xml:space="preserve"> (</w:t>
      </w:r>
      <w:r>
        <w:rPr>
          <w:rFonts w:ascii="Times New Roman" w:hAnsi="Times New Roman"/>
          <w:bCs/>
          <w:color w:val="000000"/>
          <w:kern w:val="0"/>
          <w:sz w:val="24"/>
          <w:szCs w:val="28"/>
        </w:rPr>
        <w:t xml:space="preserve">Figure </w:t>
      </w:r>
      <w:r>
        <w:rPr>
          <w:rFonts w:ascii="Times New Roman" w:hAnsi="Times New Roman" w:hint="eastAsia"/>
          <w:bCs/>
          <w:color w:val="000000"/>
          <w:kern w:val="0"/>
          <w:sz w:val="24"/>
          <w:szCs w:val="28"/>
        </w:rPr>
        <w:t>S2a)</w:t>
      </w:r>
      <w:r>
        <w:rPr>
          <w:rFonts w:ascii="Times New Roman" w:hAnsi="Times New Roman"/>
          <w:bCs/>
          <w:color w:val="000000"/>
          <w:kern w:val="0"/>
          <w:sz w:val="24"/>
          <w:szCs w:val="28"/>
        </w:rPr>
        <w:t xml:space="preserve">. Figure </w:t>
      </w:r>
      <w:r>
        <w:rPr>
          <w:rFonts w:ascii="Times New Roman" w:hAnsi="Times New Roman" w:hint="eastAsia"/>
          <w:bCs/>
          <w:color w:val="000000"/>
          <w:kern w:val="0"/>
          <w:sz w:val="24"/>
          <w:szCs w:val="28"/>
        </w:rPr>
        <w:t>S2b</w:t>
      </w:r>
      <w:r>
        <w:rPr>
          <w:rFonts w:ascii="Times New Roman" w:hAnsi="Times New Roman"/>
          <w:bCs/>
          <w:color w:val="000000"/>
          <w:kern w:val="0"/>
          <w:sz w:val="24"/>
          <w:szCs w:val="28"/>
        </w:rPr>
        <w:t xml:space="preserve"> shows the effect of low concentration of Sen on the viability of PC12 cells induced by Aβ</w:t>
      </w:r>
      <w:r>
        <w:rPr>
          <w:rFonts w:ascii="Times New Roman" w:hAnsi="Times New Roman"/>
          <w:bCs/>
          <w:color w:val="000000"/>
          <w:kern w:val="0"/>
          <w:sz w:val="24"/>
          <w:szCs w:val="28"/>
          <w:vertAlign w:val="subscript"/>
        </w:rPr>
        <w:t>25-35</w:t>
      </w:r>
      <w:r>
        <w:rPr>
          <w:rFonts w:ascii="Times New Roman" w:hAnsi="Times New Roman"/>
          <w:bCs/>
          <w:color w:val="000000"/>
          <w:kern w:val="0"/>
          <w:sz w:val="24"/>
          <w:szCs w:val="28"/>
        </w:rPr>
        <w:t>. When the concentration of Sen was 60</w:t>
      </w:r>
      <w:r>
        <w:rPr>
          <w:rFonts w:ascii="Times New Roman" w:hAnsi="Times New Roman" w:hint="eastAsia"/>
          <w:bCs/>
          <w:color w:val="000000"/>
          <w:kern w:val="0"/>
          <w:sz w:val="24"/>
          <w:szCs w:val="28"/>
        </w:rPr>
        <w:t xml:space="preserve"> </w:t>
      </w:r>
      <w:r>
        <w:rPr>
          <w:rFonts w:ascii="Times New Roman" w:hAnsi="Times New Roman"/>
          <w:bCs/>
          <w:color w:val="000000"/>
          <w:kern w:val="0"/>
          <w:sz w:val="24"/>
          <w:szCs w:val="28"/>
        </w:rPr>
        <w:t>μM, the viability of PC12 cells was significantly increased compared with the model group, with statistical significance (P&lt;0.05).</w:t>
      </w:r>
    </w:p>
    <w:p w:rsidR="00976109" w:rsidRDefault="00976109" w:rsidP="00976109">
      <w:pPr>
        <w:rPr>
          <w:rFonts w:ascii="Times New Roman" w:hAnsi="Times New Roman"/>
          <w:bCs/>
          <w:color w:val="000000"/>
          <w:kern w:val="0"/>
          <w:sz w:val="24"/>
          <w:szCs w:val="28"/>
        </w:rPr>
      </w:pPr>
      <w:r>
        <w:rPr>
          <w:rFonts w:ascii="Times New Roman" w:hAnsi="Times New Roman"/>
          <w:bCs/>
          <w:noProof/>
          <w:color w:val="000000"/>
          <w:kern w:val="0"/>
          <w:sz w:val="24"/>
          <w:szCs w:val="28"/>
          <w:lang w:eastAsia="en-US"/>
        </w:rPr>
        <w:drawing>
          <wp:inline distT="0" distB="0" distL="0" distR="0" wp14:anchorId="4F3BCB73" wp14:editId="43F8D644">
            <wp:extent cx="5278120" cy="1882775"/>
            <wp:effectExtent l="0" t="0" r="5080" b="9525"/>
            <wp:docPr id="9" name="图片 9" descr="E:\论文 新\实验计划\硕士投稿\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论文 新\实验计划\硕士投稿\S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8120" cy="1882785"/>
                    </a:xfrm>
                    <a:prstGeom prst="rect">
                      <a:avLst/>
                    </a:prstGeom>
                    <a:noFill/>
                    <a:ln>
                      <a:noFill/>
                    </a:ln>
                  </pic:spPr>
                </pic:pic>
              </a:graphicData>
            </a:graphic>
          </wp:inline>
        </w:drawing>
      </w:r>
    </w:p>
    <w:p w:rsidR="00976109" w:rsidRDefault="00976109" w:rsidP="00976109">
      <w:pPr>
        <w:rPr>
          <w:rFonts w:ascii="Times New Roman" w:hAnsi="Times New Roman"/>
          <w:bCs/>
          <w:color w:val="000000"/>
          <w:kern w:val="0"/>
          <w:szCs w:val="28"/>
        </w:rPr>
      </w:pPr>
      <w:r>
        <w:rPr>
          <w:rFonts w:ascii="Times New Roman" w:hAnsi="Times New Roman"/>
          <w:bCs/>
          <w:color w:val="000000"/>
          <w:kern w:val="0"/>
          <w:szCs w:val="28"/>
        </w:rPr>
        <w:lastRenderedPageBreak/>
        <w:t>Figure</w:t>
      </w:r>
      <w:r>
        <w:rPr>
          <w:rFonts w:ascii="Times New Roman" w:hAnsi="Times New Roman" w:hint="eastAsia"/>
          <w:bCs/>
          <w:color w:val="000000"/>
          <w:kern w:val="0"/>
          <w:szCs w:val="28"/>
        </w:rPr>
        <w:t xml:space="preserve"> S2. a: </w:t>
      </w:r>
      <w:r>
        <w:rPr>
          <w:rFonts w:ascii="Times New Roman" w:hAnsi="Times New Roman"/>
          <w:bCs/>
          <w:color w:val="000000"/>
          <w:kern w:val="0"/>
          <w:szCs w:val="28"/>
        </w:rPr>
        <w:t xml:space="preserve">The cell viability of PC12 cells subjected to different concentrations of Sen by CKK-8 assay. </w:t>
      </w:r>
      <w:r>
        <w:rPr>
          <w:rFonts w:ascii="Times New Roman" w:hAnsi="Times New Roman" w:hint="eastAsia"/>
          <w:bCs/>
          <w:color w:val="000000"/>
          <w:kern w:val="0"/>
          <w:szCs w:val="28"/>
        </w:rPr>
        <w:t>b</w:t>
      </w:r>
      <w:r>
        <w:rPr>
          <w:rFonts w:ascii="Times New Roman" w:hAnsi="Times New Roman"/>
          <w:bCs/>
          <w:color w:val="000000"/>
          <w:kern w:val="0"/>
          <w:szCs w:val="28"/>
        </w:rPr>
        <w:t>: Effects of different concentrations of Sen on the viability of PC12 cells induced by Aβ</w:t>
      </w:r>
      <w:r>
        <w:rPr>
          <w:rFonts w:ascii="Times New Roman" w:hAnsi="Times New Roman"/>
          <w:bCs/>
          <w:color w:val="000000"/>
          <w:kern w:val="0"/>
          <w:szCs w:val="28"/>
          <w:vertAlign w:val="subscript"/>
        </w:rPr>
        <w:t>25-35</w:t>
      </w:r>
      <w:r>
        <w:rPr>
          <w:rFonts w:ascii="Times New Roman" w:hAnsi="Times New Roman"/>
          <w:bCs/>
          <w:color w:val="000000"/>
          <w:kern w:val="0"/>
          <w:szCs w:val="28"/>
        </w:rPr>
        <w:t xml:space="preserve"> by CKK-8 assay. Data are mean ± SEM from three independent experiments.*P&lt;0.05 vs. control, #P&lt;0.05 vs model group.</w:t>
      </w:r>
    </w:p>
    <w:p w:rsidR="00976109" w:rsidRDefault="00976109" w:rsidP="00976109"/>
    <w:p w:rsidR="00241164" w:rsidRDefault="00241164">
      <w:bookmarkStart w:id="0" w:name="_GoBack"/>
      <w:bookmarkEnd w:id="0"/>
    </w:p>
    <w:sectPr w:rsidR="00241164">
      <w:footerReference w:type="default" r:id="rId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735804"/>
    </w:sdtPr>
    <w:sdtEndPr/>
    <w:sdtContent>
      <w:p w:rsidR="00FB7DD8" w:rsidRDefault="00976109">
        <w:pPr>
          <w:pStyle w:val="Footer"/>
          <w:jc w:val="center"/>
        </w:pPr>
        <w:r>
          <w:fldChar w:fldCharType="begin"/>
        </w:r>
        <w:r>
          <w:instrText>PAGE   \* MERGEFORMAT</w:instrText>
        </w:r>
        <w:r>
          <w:fldChar w:fldCharType="separate"/>
        </w:r>
        <w:r w:rsidRPr="00976109">
          <w:rPr>
            <w:noProof/>
            <w:lang w:val="zh-CN"/>
          </w:rPr>
          <w:t>2</w:t>
        </w:r>
        <w:r>
          <w:fldChar w:fldCharType="end"/>
        </w:r>
      </w:p>
    </w:sdtContent>
  </w:sdt>
  <w:p w:rsidR="00FB7DD8" w:rsidRDefault="00976109">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109"/>
    <w:rsid w:val="00241164"/>
    <w:rsid w:val="00976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A8F68-5B71-44DF-BAE4-2B0DF077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109"/>
    <w:pPr>
      <w:widowControl w:val="0"/>
      <w:spacing w:after="0" w:line="240" w:lineRule="auto"/>
      <w:jc w:val="both"/>
    </w:pPr>
    <w:rPr>
      <w:rFonts w:ascii="Calibri" w:eastAsia="SimSun" w:hAnsi="Calibri" w:cs="Times New Roman"/>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97610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76109"/>
    <w:rPr>
      <w:rFonts w:ascii="Calibri" w:eastAsia="SimSun" w:hAnsi="Calibri" w:cs="Times New Roman"/>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1717</Characters>
  <Application>Microsoft Office Word</Application>
  <DocSecurity>0</DocSecurity>
  <Lines>14</Lines>
  <Paragraphs>4</Paragraphs>
  <ScaleCrop>false</ScaleCrop>
  <Company>Springer Nature</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2022-06-20T09:07:00Z</dcterms:created>
  <dcterms:modified xsi:type="dcterms:W3CDTF">2022-06-20T09:07:00Z</dcterms:modified>
</cp:coreProperties>
</file>