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7E31E" w14:textId="77777777" w:rsidR="000962D0" w:rsidRDefault="000962D0" w:rsidP="000962D0">
      <w:pPr>
        <w:rPr>
          <w:rFonts w:cstheme="minorHAnsi"/>
        </w:rPr>
      </w:pPr>
      <w:r>
        <w:rPr>
          <w:rFonts w:cstheme="minorHAnsi"/>
          <w:b/>
          <w:bCs/>
          <w:i/>
          <w:iCs/>
        </w:rPr>
        <w:t>Appendix 1: Construction of fire impact funnels</w:t>
      </w:r>
    </w:p>
    <w:p w14:paraId="5F50BF07" w14:textId="77777777" w:rsidR="000962D0" w:rsidRDefault="000962D0" w:rsidP="000962D0">
      <w:pPr>
        <w:rPr>
          <w:rFonts w:cstheme="minorHAnsi"/>
        </w:rPr>
      </w:pPr>
      <w:r>
        <w:rPr>
          <w:rFonts w:cstheme="minorHAnsi"/>
        </w:rPr>
        <w:t xml:space="preserve">We first assign a direction to the axis of each </w:t>
      </w:r>
      <w:r>
        <w:rPr>
          <w:rFonts w:cstheme="minorHAnsi"/>
          <w:i/>
          <w:iCs/>
        </w:rPr>
        <w:t>fire impact funnel</w:t>
      </w:r>
      <w:r>
        <w:rPr>
          <w:rFonts w:cstheme="minorHAnsi"/>
        </w:rPr>
        <w:t xml:space="preserve"> as South, North, East, West, Northeast, Northwest, Southeast, or Southwest (denoted as</w:t>
      </w:r>
      <w:r>
        <w:rPr>
          <w:rFonts w:cstheme="minorHAnsi"/>
          <w:i/>
          <w:iCs/>
        </w:rPr>
        <w:t xml:space="preserve"> S, N, E, W, NE, NW, SE, SW</w:t>
      </w:r>
      <w:r>
        <w:rPr>
          <w:rFonts w:cstheme="minorHAnsi"/>
        </w:rPr>
        <w:t xml:space="preserve">). For example, if the </w:t>
      </w:r>
      <w:r>
        <w:rPr>
          <w:rFonts w:cstheme="minorHAnsi"/>
          <w:i/>
          <w:iCs/>
        </w:rPr>
        <w:t>funnel</w:t>
      </w:r>
      <w:r>
        <w:rPr>
          <w:rFonts w:cstheme="minorHAnsi"/>
        </w:rPr>
        <w:t xml:space="preserve"> axis has an azimuth direction of 185 degrees, we will classify it as orientated from the </w:t>
      </w:r>
      <w:r>
        <w:rPr>
          <w:rFonts w:cstheme="minorHAnsi"/>
          <w:i/>
          <w:iCs/>
        </w:rPr>
        <w:t>“North”</w:t>
      </w:r>
      <w:r>
        <w:rPr>
          <w:rFonts w:cstheme="minorHAnsi"/>
        </w:rPr>
        <w:t xml:space="preserve"> or </w:t>
      </w:r>
      <w:r>
        <w:rPr>
          <w:rFonts w:cstheme="minorHAnsi"/>
          <w:i/>
          <w:iCs/>
        </w:rPr>
        <w:t>“N”</w:t>
      </w:r>
      <w:r>
        <w:rPr>
          <w:rFonts w:cstheme="minorHAnsi"/>
        </w:rPr>
        <w:t xml:space="preserve">. Starting from the WUI end, we will add raster cells one-by-one into the impact </w:t>
      </w:r>
      <w:r>
        <w:rPr>
          <w:rFonts w:cstheme="minorHAnsi"/>
          <w:i/>
          <w:iCs/>
        </w:rPr>
        <w:t>funnel</w:t>
      </w:r>
      <w:r>
        <w:rPr>
          <w:rFonts w:cstheme="minorHAnsi"/>
        </w:rPr>
        <w:t xml:space="preserve"> following a predefined sequence (figure A1.a). During the process of building a </w:t>
      </w:r>
      <w:r>
        <w:rPr>
          <w:rFonts w:cstheme="minorHAnsi"/>
          <w:i/>
          <w:iCs/>
        </w:rPr>
        <w:t>funnel</w:t>
      </w:r>
      <w:r>
        <w:rPr>
          <w:rFonts w:cstheme="minorHAnsi"/>
        </w:rPr>
        <w:t xml:space="preserve">, we iteratively call equations </w:t>
      </w:r>
      <w:r>
        <w:rPr>
          <w:rFonts w:cstheme="minorHAnsi"/>
          <w:i/>
          <w:iCs/>
        </w:rPr>
        <w:t>(A.1)</w:t>
      </w:r>
      <w:r>
        <w:rPr>
          <w:rFonts w:cstheme="minorHAnsi"/>
        </w:rPr>
        <w:t xml:space="preserve"> and </w:t>
      </w:r>
      <w:r>
        <w:rPr>
          <w:rFonts w:cstheme="minorHAnsi"/>
          <w:i/>
          <w:iCs/>
        </w:rPr>
        <w:t xml:space="preserve">(A.2) </w:t>
      </w:r>
      <w:r>
        <w:rPr>
          <w:rFonts w:cstheme="minorHAnsi"/>
        </w:rPr>
        <w:t xml:space="preserve">to add raster cells (indexed as </w:t>
      </w:r>
      <w:r>
        <w:rPr>
          <w:rFonts w:cstheme="minorHAnsi"/>
          <w:i/>
          <w:iCs/>
        </w:rPr>
        <w:t>c</w:t>
      </w:r>
      <w:r>
        <w:rPr>
          <w:rFonts w:cstheme="minorHAnsi"/>
        </w:rPr>
        <w:t xml:space="preserve">) into the </w:t>
      </w:r>
      <w:r>
        <w:rPr>
          <w:rFonts w:cstheme="minorHAnsi"/>
          <w:i/>
          <w:iCs/>
        </w:rPr>
        <w:t>funnel</w:t>
      </w:r>
      <w:r>
        <w:rPr>
          <w:rFonts w:cstheme="minorHAnsi"/>
        </w:rPr>
        <w:t xml:space="preserve"> by assigning either 0 or 1 value to a variable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oMath>
      <w:r>
        <w:rPr>
          <w:rFonts w:cstheme="minorHAnsi"/>
        </w:rPr>
        <w:t xml:space="preserve"> to track whether direct fire spread path without encountering any firelines can be found from cell </w:t>
      </w:r>
      <w:r>
        <w:rPr>
          <w:rFonts w:cstheme="minorHAnsi"/>
          <w:i/>
          <w:iCs/>
        </w:rPr>
        <w:t>c</w:t>
      </w:r>
      <w:r>
        <w:rPr>
          <w:rFonts w:cstheme="minorHAnsi"/>
        </w:rPr>
        <w:t xml:space="preserve"> to the targeted WUI. If this path exists, we set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r>
          <w:rPr>
            <w:rFonts w:ascii="Cambria Math" w:hAnsi="Cambria Math" w:cstheme="minorHAnsi"/>
          </w:rPr>
          <m:t>=1</m:t>
        </m:r>
      </m:oMath>
      <w:r>
        <w:rPr>
          <w:rFonts w:cstheme="minorHAnsi"/>
        </w:rPr>
        <w:t xml:space="preserve">; otherwise,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r>
          <w:rPr>
            <w:rFonts w:ascii="Cambria Math" w:hAnsi="Cambria Math" w:cstheme="minorHAnsi"/>
          </w:rPr>
          <m:t>=0</m:t>
        </m:r>
      </m:oMath>
      <w:r>
        <w:rPr>
          <w:rFonts w:cstheme="minorHAnsi"/>
        </w:rPr>
        <w:t xml:space="preserve">. Cells not part of the funnel will have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r>
          <w:rPr>
            <w:rFonts w:ascii="Cambria Math" w:hAnsi="Cambria Math" w:cstheme="minorHAnsi"/>
          </w:rPr>
          <m:t>=null</m:t>
        </m:r>
      </m:oMath>
      <w:r>
        <w:rPr>
          <w:rFonts w:cstheme="minorHAnsi"/>
        </w:rPr>
        <w:t xml:space="preserve">. Since this algorithm is designed to use raster maps as inputs, all the input map layers such as firelines, WUI, roads, SDI, PCL need to be converted to raster maps first.  </w:t>
      </w:r>
    </w:p>
    <w:p w14:paraId="37BD542C" w14:textId="77777777" w:rsidR="000962D0" w:rsidRDefault="000962D0" w:rsidP="000962D0">
      <w:pPr>
        <w:pStyle w:val="ListParagraph"/>
        <w:ind w:left="360"/>
        <w:jc w:val="center"/>
        <w:rPr>
          <w:rFonts w:cstheme="minorHAnsi"/>
        </w:rPr>
      </w:pPr>
    </w:p>
    <w:p w14:paraId="7552F3A6" w14:textId="77777777" w:rsidR="000962D0" w:rsidRDefault="000962D0" w:rsidP="000962D0">
      <w:pPr>
        <w:pStyle w:val="ListParagraph"/>
        <w:ind w:left="360"/>
        <w:jc w:val="center"/>
        <w:rPr>
          <w:rFonts w:cstheme="minorHAnsi"/>
        </w:rPr>
      </w:pPr>
      <m:oMath>
        <m:sSup>
          <m:sSupPr>
            <m:ctrlPr>
              <w:rPr>
                <w:rFonts w:ascii="Cambria Math" w:hAnsi="Cambria Math" w:cstheme="minorHAnsi"/>
                <w:i/>
              </w:rPr>
            </m:ctrlPr>
          </m:sSupPr>
          <m:e>
            <m:r>
              <w:rPr>
                <w:rFonts w:ascii="Cambria Math" w:hAnsi="Cambria Math" w:cstheme="minorHAnsi"/>
              </w:rPr>
              <m:t>x</m:t>
            </m:r>
          </m:e>
          <m:sup>
            <m:r>
              <w:rPr>
                <w:rFonts w:ascii="Cambria Math" w:hAnsi="Cambria Math" w:cstheme="minorHAnsi"/>
              </w:rPr>
              <m:t>WUI</m:t>
            </m:r>
          </m:sup>
        </m:sSup>
      </m:oMath>
      <w:r>
        <w:rPr>
          <w:rFonts w:cstheme="minorHAnsi"/>
        </w:rPr>
        <w:t xml:space="preserve">=1 </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t xml:space="preserve">                                                              </w:t>
      </w:r>
      <w:proofErr w:type="gramStart"/>
      <w:r>
        <w:rPr>
          <w:rFonts w:cstheme="minorHAnsi"/>
        </w:rPr>
        <w:t xml:space="preserve">   (</w:t>
      </w:r>
      <w:proofErr w:type="gramEnd"/>
      <w:r>
        <w:rPr>
          <w:rFonts w:cstheme="minorHAnsi"/>
        </w:rPr>
        <w:t>A.1)</w:t>
      </w:r>
    </w:p>
    <w:p w14:paraId="0A5A1514" w14:textId="77777777" w:rsidR="000962D0" w:rsidRDefault="000962D0" w:rsidP="000962D0">
      <w:pPr>
        <w:pStyle w:val="ListParagraph"/>
        <w:ind w:left="360"/>
        <w:jc w:val="center"/>
        <w:rPr>
          <w:rFonts w:cstheme="minorHAnsi"/>
        </w:rPr>
      </w:pPr>
    </w:p>
    <w:p w14:paraId="3CE757CA" w14:textId="77777777" w:rsidR="000962D0" w:rsidRDefault="000962D0" w:rsidP="000962D0">
      <w:pPr>
        <w:rPr>
          <w:rFonts w:cstheme="minorHAnsi"/>
        </w:rPr>
      </w:pPr>
      <m:oMathPara>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r>
            <w:rPr>
              <w:rFonts w:ascii="Cambria Math" w:eastAsia="Cambria Math" w:hAnsi="Cambria Math" w:cstheme="minorHAnsi"/>
            </w:rPr>
            <m:t>=</m:t>
          </m:r>
          <m:d>
            <m:dPr>
              <m:begChr m:val="{"/>
              <m:endChr m:val=""/>
              <m:ctrlPr>
                <w:rPr>
                  <w:rFonts w:ascii="Cambria Math" w:hAnsi="Cambria Math" w:cstheme="minorHAnsi"/>
                  <w:i/>
                </w:rPr>
              </m:ctrlPr>
            </m:dPr>
            <m:e>
              <m:eqArr>
                <m:eqArrPr>
                  <m:ctrlPr>
                    <w:rPr>
                      <w:rFonts w:ascii="Cambria Math" w:hAnsi="Cambria Math" w:cstheme="minorHAnsi"/>
                      <w:i/>
                    </w:rPr>
                  </m:ctrlPr>
                </m:eqArrPr>
                <m:e>
                  <m:r>
                    <w:rPr>
                      <w:rFonts w:ascii="Cambria Math" w:hAnsi="Cambria Math" w:cstheme="minorHAnsi"/>
                    </w:rPr>
                    <m:t xml:space="preserve">1,                if </m:t>
                  </m:r>
                  <m:nary>
                    <m:naryPr>
                      <m:chr m:val="∑"/>
                      <m:grow m:val="1"/>
                      <m:ctrlPr>
                        <w:rPr>
                          <w:rFonts w:ascii="Cambria Math" w:hAnsi="Cambria Math" w:cstheme="minorHAnsi"/>
                        </w:rPr>
                      </m:ctrlPr>
                    </m:naryPr>
                    <m:sub>
                      <m:sSup>
                        <m:sSupPr>
                          <m:ctrlPr>
                            <w:rPr>
                              <w:rFonts w:ascii="Cambria Math" w:eastAsia="Cambria Math" w:hAnsi="Cambria Math" w:cstheme="minorHAnsi"/>
                              <w:i/>
                            </w:rPr>
                          </m:ctrlPr>
                        </m:sSupPr>
                        <m:e>
                          <m:r>
                            <w:rPr>
                              <w:rFonts w:ascii="Cambria Math" w:eastAsia="Cambria Math" w:hAnsi="Cambria Math" w:cstheme="minorHAnsi"/>
                            </w:rPr>
                            <m:t>c</m:t>
                          </m:r>
                        </m:e>
                        <m:sup>
                          <m:r>
                            <w:rPr>
                              <w:rFonts w:ascii="Cambria Math" w:eastAsia="Cambria Math" w:hAnsi="Cambria Math" w:cstheme="minorHAnsi"/>
                            </w:rPr>
                            <m:t>'</m:t>
                          </m:r>
                        </m:sup>
                      </m:sSup>
                    </m:sub>
                    <m:sup>
                      <m:r>
                        <w:rPr>
                          <w:rFonts w:ascii="Cambria Math" w:hAnsi="Cambria Math" w:cstheme="minorHAnsi"/>
                        </w:rPr>
                        <m:t xml:space="preserve">  </m:t>
                      </m:r>
                    </m:sup>
                    <m:e>
                      <m:sSub>
                        <m:sSubPr>
                          <m:ctrlPr>
                            <w:rPr>
                              <w:rFonts w:ascii="Cambria Math" w:hAnsi="Cambria Math" w:cstheme="minorHAnsi"/>
                              <w:i/>
                            </w:rPr>
                          </m:ctrlPr>
                        </m:sSubPr>
                        <m:e>
                          <m:r>
                            <w:rPr>
                              <w:rFonts w:ascii="Cambria Math" w:hAnsi="Cambria Math" w:cstheme="minorHAnsi"/>
                            </w:rPr>
                            <m:t>x</m:t>
                          </m:r>
                        </m:e>
                        <m:sub>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sub>
                      </m:sSub>
                      <m:r>
                        <w:rPr>
                          <w:rFonts w:ascii="Cambria Math" w:hAnsi="Cambria Math" w:cstheme="minorHAnsi"/>
                        </w:rPr>
                        <m:t>×(</m:t>
                      </m:r>
                    </m:e>
                  </m:nary>
                  <m:sSub>
                    <m:sSubPr>
                      <m:ctrlPr>
                        <w:rPr>
                          <w:rFonts w:ascii="Cambria Math" w:hAnsi="Cambria Math" w:cstheme="minorHAnsi"/>
                          <w:i/>
                        </w:rPr>
                      </m:ctrlPr>
                    </m:sSubPr>
                    <m:e>
                      <m:r>
                        <w:rPr>
                          <w:rFonts w:ascii="Cambria Math" w:hAnsi="Cambria Math" w:cstheme="minorHAnsi"/>
                        </w:rPr>
                        <m:t>1-line</m:t>
                      </m:r>
                    </m:e>
                    <m:sub>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sub>
                  </m:sSub>
                  <m:r>
                    <w:rPr>
                      <w:rFonts w:ascii="Cambria Math" w:hAnsi="Cambria Math" w:cstheme="minorHAnsi"/>
                    </w:rPr>
                    <m:t xml:space="preserve">) ≥1 </m:t>
                  </m:r>
                </m:e>
                <m:e>
                  <m:r>
                    <w:rPr>
                      <w:rFonts w:ascii="Cambria Math" w:hAnsi="Cambria Math" w:cstheme="minorHAnsi"/>
                    </w:rPr>
                    <m:t>0,                                                    &amp;otherwise</m:t>
                  </m:r>
                </m:e>
              </m:eqArr>
            </m:e>
          </m:d>
          <m:r>
            <w:rPr>
              <w:rFonts w:ascii="Cambria Math" w:hAnsi="Cambria Math" w:cstheme="minorHAnsi"/>
            </w:rPr>
            <m:t xml:space="preserve">                 ∀ c    added to the funnel</m:t>
          </m:r>
          <m:r>
            <m:rPr>
              <m:sty m:val="p"/>
            </m:rPr>
            <w:rPr>
              <w:rFonts w:ascii="Cambria Math" w:hAnsi="Cambria Math" w:cstheme="minorHAnsi"/>
            </w:rPr>
            <m:t xml:space="preserve">           (A.2)</m:t>
          </m:r>
        </m:oMath>
      </m:oMathPara>
    </w:p>
    <w:p w14:paraId="121FAAB7" w14:textId="77777777" w:rsidR="000962D0" w:rsidRDefault="000962D0" w:rsidP="000962D0">
      <w:pPr>
        <w:pStyle w:val="ListParagraph"/>
        <w:ind w:left="360"/>
        <w:jc w:val="center"/>
        <w:rPr>
          <w:rFonts w:cstheme="minorHAnsi"/>
        </w:rPr>
      </w:pPr>
      <w:r>
        <w:rPr>
          <w:rFonts w:cstheme="minorHAnsi"/>
        </w:rPr>
        <w:tab/>
      </w:r>
    </w:p>
    <w:p w14:paraId="63E4E926" w14:textId="77777777" w:rsidR="000962D0" w:rsidRDefault="000962D0" w:rsidP="000962D0">
      <w:pPr>
        <w:pStyle w:val="ListParagraph"/>
        <w:numPr>
          <w:ilvl w:val="0"/>
          <w:numId w:val="1"/>
        </w:numPr>
        <w:rPr>
          <w:rFonts w:cstheme="minorHAnsi"/>
        </w:rPr>
      </w:pPr>
      <w:r>
        <w:rPr>
          <w:rFonts w:cstheme="minorHAnsi"/>
        </w:rPr>
        <w:t xml:space="preserve">Set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r>
          <w:rPr>
            <w:rFonts w:ascii="Cambria Math" w:hAnsi="Cambria Math" w:cstheme="minorHAnsi"/>
          </w:rPr>
          <m:t>=null</m:t>
        </m:r>
      </m:oMath>
      <w:r>
        <w:rPr>
          <w:rFonts w:cstheme="minorHAnsi"/>
        </w:rPr>
        <w:t xml:space="preserve"> for all cells within a quasi-ellipse shaped fire interaction zone as the initial state.</w:t>
      </w:r>
    </w:p>
    <w:p w14:paraId="5FD13942" w14:textId="77777777" w:rsidR="000962D0" w:rsidRDefault="000962D0" w:rsidP="000962D0">
      <w:pPr>
        <w:pStyle w:val="ListParagraph"/>
        <w:numPr>
          <w:ilvl w:val="0"/>
          <w:numId w:val="1"/>
        </w:numPr>
        <w:rPr>
          <w:rFonts w:cstheme="minorHAnsi"/>
        </w:rPr>
      </w:pPr>
      <w:r>
        <w:rPr>
          <w:rFonts w:cstheme="minorHAnsi"/>
        </w:rPr>
        <w:t xml:space="preserve">Variable </w:t>
      </w:r>
      <m:oMath>
        <m:sSup>
          <m:sSupPr>
            <m:ctrlPr>
              <w:rPr>
                <w:rFonts w:ascii="Cambria Math" w:hAnsi="Cambria Math" w:cstheme="minorHAnsi"/>
                <w:i/>
              </w:rPr>
            </m:ctrlPr>
          </m:sSupPr>
          <m:e>
            <m:r>
              <w:rPr>
                <w:rFonts w:ascii="Cambria Math" w:hAnsi="Cambria Math" w:cstheme="minorHAnsi"/>
              </w:rPr>
              <m:t>x</m:t>
            </m:r>
          </m:e>
          <m:sup>
            <m:r>
              <w:rPr>
                <w:rFonts w:ascii="Cambria Math" w:hAnsi="Cambria Math" w:cstheme="minorHAnsi"/>
              </w:rPr>
              <m:t>WUI</m:t>
            </m:r>
          </m:sup>
        </m:sSup>
      </m:oMath>
      <w:r>
        <w:rPr>
          <w:rFonts w:cstheme="minorHAnsi"/>
        </w:rPr>
        <w:t xml:space="preserve"> is set to 1 for the raster cell(s) representing the fire impact point(s) to the corresponding WUI block. </w:t>
      </w:r>
    </w:p>
    <w:p w14:paraId="788E8CBD" w14:textId="77777777" w:rsidR="000962D0" w:rsidRDefault="000962D0" w:rsidP="000962D0">
      <w:pPr>
        <w:pStyle w:val="ListParagraph"/>
        <w:numPr>
          <w:ilvl w:val="0"/>
          <w:numId w:val="1"/>
        </w:numPr>
        <w:rPr>
          <w:rFonts w:cstheme="minorHAnsi"/>
        </w:rPr>
      </w:pPr>
      <w:r>
        <w:rPr>
          <w:rFonts w:cstheme="minorHAnsi"/>
        </w:rPr>
        <w:t xml:space="preserve">An impact funnel will be formed by keeping adding new cells </w:t>
      </w:r>
      <m:oMath>
        <m:r>
          <w:rPr>
            <w:rFonts w:ascii="Cambria Math" w:hAnsi="Cambria Math" w:cstheme="minorHAnsi"/>
          </w:rPr>
          <m:t>c</m:t>
        </m:r>
      </m:oMath>
      <w:r>
        <w:rPr>
          <w:rFonts w:cstheme="minorHAnsi"/>
        </w:rPr>
        <w:t xml:space="preserve"> into the funnel. </w:t>
      </w:r>
      <m:oMath>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oMath>
      <w:r>
        <w:rPr>
          <w:rFonts w:cstheme="minorHAnsi"/>
        </w:rPr>
        <w:t xml:space="preserve"> denotes cells directly adjacent to cell </w:t>
      </w:r>
      <m:oMath>
        <m:r>
          <w:rPr>
            <w:rFonts w:ascii="Cambria Math" w:hAnsi="Cambria Math" w:cstheme="minorHAnsi"/>
          </w:rPr>
          <m:t>c</m:t>
        </m:r>
      </m:oMath>
      <w:r>
        <w:rPr>
          <w:rFonts w:cstheme="minorHAnsi"/>
        </w:rPr>
        <w:t xml:space="preserve"> from the WUI end.</w:t>
      </w:r>
    </w:p>
    <w:p w14:paraId="0FBA20DB" w14:textId="77777777" w:rsidR="000962D0" w:rsidRDefault="000962D0" w:rsidP="000962D0">
      <w:pPr>
        <w:pStyle w:val="ListParagraph"/>
        <w:numPr>
          <w:ilvl w:val="0"/>
          <w:numId w:val="1"/>
        </w:numPr>
        <w:rPr>
          <w:rFonts w:cstheme="minorHAnsi"/>
        </w:rPr>
      </w:pPr>
      <w:r>
        <w:rPr>
          <w:rFonts w:cstheme="minorHAnsi"/>
        </w:rPr>
        <w:t xml:space="preserve">Parameter </w:t>
      </w:r>
      <m:oMath>
        <m:sSub>
          <m:sSubPr>
            <m:ctrlPr>
              <w:rPr>
                <w:rFonts w:ascii="Cambria Math" w:hAnsi="Cambria Math" w:cstheme="minorHAnsi"/>
                <w:i/>
              </w:rPr>
            </m:ctrlPr>
          </m:sSubPr>
          <m:e>
            <m:r>
              <w:rPr>
                <w:rFonts w:ascii="Cambria Math" w:hAnsi="Cambria Math" w:cstheme="minorHAnsi"/>
              </w:rPr>
              <m:t>line</m:t>
            </m:r>
          </m:e>
          <m:sub>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sub>
        </m:sSub>
      </m:oMath>
      <w:r>
        <w:rPr>
          <w:rFonts w:cstheme="minorHAnsi"/>
        </w:rPr>
        <w:t xml:space="preserve"> denotes whether firelines exist in cell c’. Zero denotes no fireline in cell </w:t>
      </w:r>
      <m:oMath>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oMath>
      <w:r>
        <w:rPr>
          <w:rFonts w:cstheme="minorHAnsi"/>
        </w:rPr>
        <w:t xml:space="preserve">; 1 denotes </w:t>
      </w:r>
      <w:proofErr w:type="spellStart"/>
      <w:r>
        <w:rPr>
          <w:rFonts w:cstheme="minorHAnsi"/>
        </w:rPr>
        <w:t>fireline</w:t>
      </w:r>
      <w:proofErr w:type="spellEnd"/>
      <w:r>
        <w:rPr>
          <w:rFonts w:cstheme="minorHAnsi"/>
        </w:rPr>
        <w:t xml:space="preserve"> existing in </w:t>
      </w:r>
      <m:oMath>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oMath>
      <w:r>
        <w:rPr>
          <w:rFonts w:cstheme="minorHAnsi"/>
        </w:rPr>
        <w:t xml:space="preserve">. </w:t>
      </w:r>
    </w:p>
    <w:p w14:paraId="728B1E23" w14:textId="77777777" w:rsidR="000962D0" w:rsidRDefault="000962D0" w:rsidP="000962D0">
      <w:pPr>
        <w:rPr>
          <w:rFonts w:cstheme="minorHAnsi"/>
        </w:rPr>
      </w:pPr>
      <w:r>
        <w:rPr>
          <w:rFonts w:cstheme="minorHAnsi"/>
        </w:rPr>
        <w:t xml:space="preserve">For example, assuming we have a raster map with row index (denoted as </w:t>
      </w:r>
      <w:proofErr w:type="spellStart"/>
      <w:r>
        <w:rPr>
          <w:rFonts w:cstheme="minorHAnsi"/>
          <w:i/>
          <w:iCs/>
        </w:rPr>
        <w:t>row_ID</w:t>
      </w:r>
      <w:proofErr w:type="spellEnd"/>
      <w:r>
        <w:rPr>
          <w:rFonts w:cstheme="minorHAnsi"/>
        </w:rPr>
        <w:t xml:space="preserve">) and column index (denoted as </w:t>
      </w:r>
      <w:proofErr w:type="spellStart"/>
      <w:r>
        <w:rPr>
          <w:rFonts w:cstheme="minorHAnsi"/>
          <w:i/>
          <w:iCs/>
        </w:rPr>
        <w:t>col_ID</w:t>
      </w:r>
      <w:proofErr w:type="spellEnd"/>
      <w:r>
        <w:rPr>
          <w:rFonts w:cstheme="minorHAnsi"/>
        </w:rPr>
        <w:t xml:space="preserve">) for each cell; </w:t>
      </w:r>
      <w:r>
        <w:rPr>
          <w:rFonts w:cstheme="minorHAnsi"/>
          <w:i/>
          <w:iCs/>
        </w:rPr>
        <w:t>(</w:t>
      </w:r>
      <w:proofErr w:type="spellStart"/>
      <w:r>
        <w:rPr>
          <w:rFonts w:cstheme="minorHAnsi"/>
          <w:i/>
          <w:iCs/>
        </w:rPr>
        <w:t>row_ID</w:t>
      </w:r>
      <w:proofErr w:type="spellEnd"/>
      <w:r>
        <w:rPr>
          <w:rFonts w:cstheme="minorHAnsi"/>
          <w:i/>
          <w:iCs/>
        </w:rPr>
        <w:t xml:space="preserve">=0, </w:t>
      </w:r>
      <w:proofErr w:type="spellStart"/>
      <w:r>
        <w:rPr>
          <w:rFonts w:cstheme="minorHAnsi"/>
          <w:i/>
          <w:iCs/>
        </w:rPr>
        <w:t>col_ID</w:t>
      </w:r>
      <w:proofErr w:type="spellEnd"/>
      <w:r>
        <w:rPr>
          <w:rFonts w:cstheme="minorHAnsi"/>
          <w:i/>
          <w:iCs/>
        </w:rPr>
        <w:t>=</w:t>
      </w:r>
      <w:r>
        <w:rPr>
          <w:rFonts w:cstheme="minorHAnsi"/>
        </w:rPr>
        <w:t xml:space="preserve">0) represents the location of the top-left conner of the raster map; </w:t>
      </w:r>
      <w:proofErr w:type="spellStart"/>
      <w:r>
        <w:rPr>
          <w:rFonts w:cstheme="minorHAnsi"/>
          <w:i/>
          <w:iCs/>
        </w:rPr>
        <w:t>row_ID</w:t>
      </w:r>
      <w:proofErr w:type="spellEnd"/>
      <w:r>
        <w:rPr>
          <w:rFonts w:cstheme="minorHAnsi"/>
        </w:rPr>
        <w:t xml:space="preserve"> increases by moving downward and </w:t>
      </w:r>
      <w:proofErr w:type="spellStart"/>
      <w:r>
        <w:rPr>
          <w:rFonts w:cstheme="minorHAnsi"/>
          <w:i/>
          <w:iCs/>
        </w:rPr>
        <w:t>col_ID</w:t>
      </w:r>
      <w:proofErr w:type="spellEnd"/>
      <w:r>
        <w:rPr>
          <w:rFonts w:cstheme="minorHAnsi"/>
        </w:rPr>
        <w:t xml:space="preserve"> increases by moving rightward across the map. If we assume a fire was discovered from the north of a studied WUI (figure A1), for a cell at the location </w:t>
      </w:r>
      <w:r>
        <w:rPr>
          <w:rFonts w:cstheme="minorHAnsi"/>
          <w:i/>
          <w:iCs/>
        </w:rPr>
        <w:t>(</w:t>
      </w:r>
      <w:proofErr w:type="spellStart"/>
      <w:r>
        <w:rPr>
          <w:rFonts w:cstheme="minorHAnsi"/>
          <w:i/>
          <w:iCs/>
        </w:rPr>
        <w:t>row_ID</w:t>
      </w:r>
      <w:proofErr w:type="spellEnd"/>
      <w:r>
        <w:rPr>
          <w:rFonts w:cstheme="minorHAnsi"/>
          <w:i/>
          <w:iCs/>
        </w:rPr>
        <w:t xml:space="preserve">, </w:t>
      </w:r>
      <w:proofErr w:type="spellStart"/>
      <w:r>
        <w:rPr>
          <w:rFonts w:cstheme="minorHAnsi"/>
          <w:i/>
          <w:iCs/>
        </w:rPr>
        <w:t>col_ID</w:t>
      </w:r>
      <w:proofErr w:type="spellEnd"/>
      <w:r>
        <w:rPr>
          <w:rFonts w:cstheme="minorHAnsi"/>
          <w:i/>
          <w:iCs/>
        </w:rPr>
        <w:t>)</w:t>
      </w:r>
      <w:r>
        <w:rPr>
          <w:rFonts w:cstheme="minorHAnsi"/>
        </w:rPr>
        <w:t xml:space="preserve">, three directly adjacent cells </w:t>
      </w:r>
      <m:oMath>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oMath>
      <w:r>
        <w:rPr>
          <w:rFonts w:cstheme="minorHAnsi"/>
        </w:rPr>
        <w:t xml:space="preserve"> are from the WUI side of cell </w:t>
      </w:r>
      <m:oMath>
        <m:r>
          <w:rPr>
            <w:rFonts w:ascii="Cambria Math" w:hAnsi="Cambria Math" w:cstheme="minorHAnsi"/>
          </w:rPr>
          <m:t>c</m:t>
        </m:r>
      </m:oMath>
      <w:r>
        <w:rPr>
          <w:rFonts w:cstheme="minorHAnsi"/>
        </w:rPr>
        <w:t xml:space="preserve"> with its location indexed as </w:t>
      </w:r>
      <w:r>
        <w:rPr>
          <w:rFonts w:cstheme="minorHAnsi"/>
          <w:i/>
          <w:iCs/>
        </w:rPr>
        <w:t>(</w:t>
      </w:r>
      <w:proofErr w:type="spellStart"/>
      <w:r>
        <w:rPr>
          <w:rFonts w:cstheme="minorHAnsi"/>
          <w:i/>
          <w:iCs/>
        </w:rPr>
        <w:t>row_ID</w:t>
      </w:r>
      <w:proofErr w:type="spellEnd"/>
      <w:r>
        <w:rPr>
          <w:rFonts w:cstheme="minorHAnsi"/>
          <w:i/>
          <w:iCs/>
        </w:rPr>
        <w:t xml:space="preserve"> + 1, </w:t>
      </w:r>
      <w:proofErr w:type="spellStart"/>
      <w:r>
        <w:rPr>
          <w:rFonts w:cstheme="minorHAnsi"/>
          <w:i/>
          <w:iCs/>
        </w:rPr>
        <w:t>col_ID</w:t>
      </w:r>
      <w:proofErr w:type="spellEnd"/>
      <w:r>
        <w:rPr>
          <w:rFonts w:cstheme="minorHAnsi"/>
          <w:i/>
          <w:iCs/>
        </w:rPr>
        <w:t xml:space="preserve"> - 1)</w:t>
      </w:r>
      <w:r>
        <w:rPr>
          <w:rFonts w:cstheme="minorHAnsi"/>
        </w:rPr>
        <w:t xml:space="preserve">, </w:t>
      </w:r>
      <w:r>
        <w:rPr>
          <w:rFonts w:cstheme="minorHAnsi"/>
          <w:i/>
          <w:iCs/>
        </w:rPr>
        <w:t>(</w:t>
      </w:r>
      <w:proofErr w:type="spellStart"/>
      <w:r>
        <w:rPr>
          <w:rFonts w:cstheme="minorHAnsi"/>
          <w:i/>
          <w:iCs/>
        </w:rPr>
        <w:t>row_ID</w:t>
      </w:r>
      <w:proofErr w:type="spellEnd"/>
      <w:r>
        <w:rPr>
          <w:rFonts w:cstheme="minorHAnsi"/>
          <w:i/>
          <w:iCs/>
        </w:rPr>
        <w:t xml:space="preserve"> + 1, </w:t>
      </w:r>
      <w:proofErr w:type="spellStart"/>
      <w:r>
        <w:rPr>
          <w:rFonts w:cstheme="minorHAnsi"/>
          <w:i/>
          <w:iCs/>
        </w:rPr>
        <w:t>col_ID</w:t>
      </w:r>
      <w:proofErr w:type="spellEnd"/>
      <w:r>
        <w:rPr>
          <w:rFonts w:cstheme="minorHAnsi"/>
          <w:i/>
          <w:iCs/>
        </w:rPr>
        <w:t>)</w:t>
      </w:r>
      <w:r>
        <w:rPr>
          <w:rFonts w:cstheme="minorHAnsi"/>
        </w:rPr>
        <w:t xml:space="preserve"> and </w:t>
      </w:r>
      <w:r>
        <w:rPr>
          <w:rFonts w:cstheme="minorHAnsi"/>
          <w:i/>
          <w:iCs/>
        </w:rPr>
        <w:t>(</w:t>
      </w:r>
      <w:proofErr w:type="spellStart"/>
      <w:r>
        <w:rPr>
          <w:rFonts w:cstheme="minorHAnsi"/>
          <w:i/>
          <w:iCs/>
        </w:rPr>
        <w:t>row_ID</w:t>
      </w:r>
      <w:proofErr w:type="spellEnd"/>
      <w:r>
        <w:rPr>
          <w:rFonts w:cstheme="minorHAnsi"/>
          <w:i/>
          <w:iCs/>
        </w:rPr>
        <w:t xml:space="preserve"> + 1, </w:t>
      </w:r>
      <w:proofErr w:type="spellStart"/>
      <w:r>
        <w:rPr>
          <w:rFonts w:cstheme="minorHAnsi"/>
          <w:i/>
          <w:iCs/>
        </w:rPr>
        <w:t>col_ID</w:t>
      </w:r>
      <w:proofErr w:type="spellEnd"/>
      <w:r>
        <w:rPr>
          <w:rFonts w:cstheme="minorHAnsi"/>
          <w:i/>
          <w:iCs/>
        </w:rPr>
        <w:t xml:space="preserve"> + 1)</w:t>
      </w:r>
      <w:r>
        <w:rPr>
          <w:rFonts w:cstheme="minorHAnsi"/>
        </w:rPr>
        <w:t xml:space="preserve">. The sequence shown in figure A1.a guarantees that variable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oMath>
      <w:r>
        <w:rPr>
          <w:rFonts w:cstheme="minorHAnsi"/>
        </w:rPr>
        <w:t xml:space="preserve"> is assigned a value of either zero or one (</w:t>
      </w:r>
      <w:r>
        <w:rPr>
          <w:rFonts w:cstheme="minorHAnsi"/>
          <w:i/>
          <w:iCs/>
        </w:rPr>
        <w:t>equation A.2</w:t>
      </w:r>
      <w:r>
        <w:rPr>
          <w:rFonts w:cstheme="minorHAnsi"/>
        </w:rPr>
        <w:t xml:space="preserve">) only after </w:t>
      </w:r>
      <m:oMath>
        <m:sSub>
          <m:sSubPr>
            <m:ctrlPr>
              <w:rPr>
                <w:rFonts w:ascii="Cambria Math" w:hAnsi="Cambria Math" w:cstheme="minorHAnsi"/>
                <w:i/>
              </w:rPr>
            </m:ctrlPr>
          </m:sSubPr>
          <m:e>
            <m:r>
              <w:rPr>
                <w:rFonts w:ascii="Cambria Math" w:hAnsi="Cambria Math" w:cstheme="minorHAnsi"/>
              </w:rPr>
              <m:t>x</m:t>
            </m:r>
          </m:e>
          <m:sub>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sub>
        </m:sSub>
      </m:oMath>
      <w:r>
        <w:rPr>
          <w:rFonts w:cstheme="minorHAnsi"/>
        </w:rPr>
        <w:t xml:space="preserve"> for all its three directly adjacent cell </w:t>
      </w:r>
      <m:oMath>
        <m:r>
          <w:rPr>
            <w:rFonts w:ascii="Cambria Math" w:hAnsi="Cambria Math" w:cstheme="minorHAnsi"/>
          </w:rPr>
          <m:t>c'</m:t>
        </m:r>
      </m:oMath>
      <w:r>
        <w:rPr>
          <w:rFonts w:cstheme="minorHAnsi"/>
        </w:rPr>
        <w:t xml:space="preserve"> from the WUI side of the funnel have already been calculated. </w:t>
      </w:r>
      <m:oMath>
        <m:sSub>
          <m:sSubPr>
            <m:ctrlPr>
              <w:rPr>
                <w:rFonts w:ascii="Cambria Math" w:hAnsi="Cambria Math" w:cstheme="minorHAnsi"/>
                <w:i/>
              </w:rPr>
            </m:ctrlPr>
          </m:sSubPr>
          <m:e>
            <m:r>
              <w:rPr>
                <w:rFonts w:ascii="Cambria Math" w:hAnsi="Cambria Math" w:cstheme="minorHAnsi"/>
              </w:rPr>
              <m:t>x</m:t>
            </m:r>
          </m:e>
          <m:sub>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sub>
        </m:sSub>
      </m:oMath>
      <w:r>
        <w:rPr>
          <w:rFonts w:cstheme="minorHAnsi"/>
        </w:rPr>
        <w:t xml:space="preserve">is assigned a value of zero under two scenarios according to Equation A1 and A2: 1) </w:t>
      </w:r>
      <m:oMath>
        <m:sSub>
          <m:sSubPr>
            <m:ctrlPr>
              <w:rPr>
                <w:rFonts w:ascii="Cambria Math" w:hAnsi="Cambria Math" w:cstheme="minorHAnsi"/>
                <w:i/>
              </w:rPr>
            </m:ctrlPr>
          </m:sSubPr>
          <m:e>
            <m:r>
              <w:rPr>
                <w:rFonts w:ascii="Cambria Math" w:hAnsi="Cambria Math" w:cstheme="minorHAnsi"/>
              </w:rPr>
              <m:t>x</m:t>
            </m:r>
          </m:e>
          <m:sub>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m:t>
                </m:r>
              </m:sup>
            </m:sSup>
          </m:sub>
        </m:sSub>
      </m:oMath>
      <w:r>
        <w:rPr>
          <w:rFonts w:cstheme="minorHAnsi"/>
        </w:rPr>
        <w:t xml:space="preserve"> of all the three adjacent cells </w:t>
      </w:r>
      <m:oMath>
        <m:r>
          <w:rPr>
            <w:rFonts w:ascii="Cambria Math" w:hAnsi="Cambria Math" w:cstheme="minorHAnsi"/>
          </w:rPr>
          <m:t>c'</m:t>
        </m:r>
      </m:oMath>
      <w:r>
        <w:rPr>
          <w:rFonts w:cstheme="minorHAnsi"/>
        </w:rPr>
        <w:t xml:space="preserve"> have been assigned a value of zero, or 2) fireline exists in all the three adjacent </w:t>
      </w:r>
      <w:proofErr w:type="gramStart"/>
      <w:r>
        <w:rPr>
          <w:rFonts w:cstheme="minorHAnsi"/>
        </w:rPr>
        <w:t>cell</w:t>
      </w:r>
      <w:proofErr w:type="gramEnd"/>
      <w:r>
        <w:rPr>
          <w:rFonts w:cstheme="minorHAnsi"/>
        </w:rPr>
        <w:t xml:space="preserve"> </w:t>
      </w:r>
      <m:oMath>
        <m:r>
          <w:rPr>
            <w:rFonts w:ascii="Cambria Math" w:hAnsi="Cambria Math" w:cstheme="minorHAnsi"/>
          </w:rPr>
          <m:t>c'</m:t>
        </m:r>
      </m:oMath>
      <w:r>
        <w:rPr>
          <w:rFonts w:cstheme="minorHAnsi"/>
        </w:rPr>
        <w:t xml:space="preserve">. </w:t>
      </w:r>
    </w:p>
    <w:p w14:paraId="5E1027D6" w14:textId="77777777" w:rsidR="000962D0" w:rsidRDefault="000962D0" w:rsidP="000962D0">
      <w:pPr>
        <w:rPr>
          <w:rFonts w:cstheme="minorHAnsi"/>
        </w:rPr>
      </w:pPr>
      <w:r>
        <w:rPr>
          <w:rFonts w:cstheme="minorHAnsi"/>
        </w:rPr>
        <w:t xml:space="preserve">Using the example in </w:t>
      </w:r>
      <w:r>
        <w:rPr>
          <w:rFonts w:cstheme="minorHAnsi"/>
          <w:i/>
          <w:iCs/>
        </w:rPr>
        <w:t>figure A1</w:t>
      </w:r>
      <w:r>
        <w:rPr>
          <w:rFonts w:cstheme="minorHAnsi"/>
        </w:rPr>
        <w:t xml:space="preserve">, after a funnel is built, we can tally the value of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oMath>
      <w:r>
        <w:rPr>
          <w:rFonts w:cstheme="minorHAnsi"/>
        </w:rPr>
        <w:t xml:space="preserve"> for cells at the wider end of the funnel</w:t>
      </w:r>
      <w:r>
        <w:rPr>
          <w:rFonts w:cstheme="minorHAnsi"/>
          <w:i/>
          <w:iCs/>
        </w:rPr>
        <w:t xml:space="preserve">. </w:t>
      </w:r>
      <w:r>
        <w:rPr>
          <w:rFonts w:cstheme="minorHAnsi"/>
        </w:rPr>
        <w:t xml:space="preserve">Any cell </w:t>
      </w:r>
      <w:r>
        <w:rPr>
          <w:rFonts w:cstheme="minorHAnsi"/>
          <w:i/>
          <w:iCs/>
        </w:rPr>
        <w:t>c</w:t>
      </w:r>
      <w:r>
        <w:rPr>
          <w:rFonts w:cstheme="minorHAnsi"/>
        </w:rPr>
        <w:t xml:space="preserve"> along the wider side of the funnel edge with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r>
          <w:rPr>
            <w:rFonts w:ascii="Cambria Math" w:hAnsi="Cambria Math" w:cstheme="minorHAnsi"/>
          </w:rPr>
          <m:t>=1</m:t>
        </m:r>
      </m:oMath>
      <w:r>
        <w:rPr>
          <w:rFonts w:cstheme="minorHAnsi"/>
        </w:rPr>
        <w:t xml:space="preserve"> is identified as a cell that can spread fire to the studied WUI following a combination of vertical and diagonal spread directions (figure A1). The number of cells along the edge w</w:t>
      </w:r>
      <w:proofErr w:type="spellStart"/>
      <w:r>
        <w:rPr>
          <w:rFonts w:cstheme="minorHAnsi"/>
        </w:rPr>
        <w:t>ith</w:t>
      </w:r>
      <w:proofErr w:type="spellEnd"/>
      <w:r>
        <w:rPr>
          <w:rFonts w:cstheme="minorHAnsi"/>
        </w:rPr>
        <w:t xml:space="preserve">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c</m:t>
            </m:r>
          </m:sub>
        </m:sSub>
        <m:r>
          <w:rPr>
            <w:rFonts w:ascii="Cambria Math" w:hAnsi="Cambria Math" w:cstheme="minorHAnsi"/>
          </w:rPr>
          <m:t>=1</m:t>
        </m:r>
      </m:oMath>
      <w:r>
        <w:rPr>
          <w:rFonts w:cstheme="minorHAnsi"/>
        </w:rPr>
        <w:t xml:space="preserve"> divided by the number of cells along the winder end of the</w:t>
      </w:r>
      <w:r>
        <w:rPr>
          <w:rFonts w:cstheme="minorHAnsi"/>
          <w:i/>
          <w:iCs/>
        </w:rPr>
        <w:t xml:space="preserve"> funnel</w:t>
      </w:r>
      <w:r>
        <w:rPr>
          <w:rFonts w:cstheme="minorHAnsi"/>
        </w:rPr>
        <w:t xml:space="preserve"> edge is called “</w:t>
      </w:r>
      <w:r>
        <w:rPr>
          <w:rFonts w:cstheme="minorHAnsi"/>
          <w:i/>
          <w:iCs/>
        </w:rPr>
        <w:t>leak ratio</w:t>
      </w:r>
      <w:r>
        <w:rPr>
          <w:rFonts w:cstheme="minorHAnsi"/>
        </w:rPr>
        <w:t xml:space="preserve">” (table 2). If </w:t>
      </w:r>
      <w:proofErr w:type="spellStart"/>
      <w:r>
        <w:rPr>
          <w:rFonts w:cstheme="minorHAnsi"/>
        </w:rPr>
        <w:t>firelines</w:t>
      </w:r>
      <w:proofErr w:type="spellEnd"/>
      <w:r>
        <w:rPr>
          <w:rFonts w:cstheme="minorHAnsi"/>
        </w:rPr>
        <w:t xml:space="preserve"> can separate a WUI </w:t>
      </w:r>
      <w:r>
        <w:rPr>
          <w:rFonts w:cstheme="minorHAnsi"/>
        </w:rPr>
        <w:lastRenderedPageBreak/>
        <w:t xml:space="preserve">and a fire perimeter in a </w:t>
      </w:r>
      <w:r>
        <w:rPr>
          <w:rFonts w:cstheme="minorHAnsi"/>
          <w:i/>
          <w:iCs/>
        </w:rPr>
        <w:t>funnel</w:t>
      </w:r>
      <w:r>
        <w:rPr>
          <w:rFonts w:cstheme="minorHAnsi"/>
        </w:rPr>
        <w:t xml:space="preserve">, the </w:t>
      </w:r>
      <w:r>
        <w:rPr>
          <w:rFonts w:cstheme="minorHAnsi"/>
          <w:i/>
          <w:iCs/>
        </w:rPr>
        <w:t>leak ratio</w:t>
      </w:r>
      <w:r>
        <w:rPr>
          <w:rFonts w:cstheme="minorHAnsi"/>
        </w:rPr>
        <w:t xml:space="preserve"> of the </w:t>
      </w:r>
      <w:r>
        <w:rPr>
          <w:rFonts w:cstheme="minorHAnsi"/>
          <w:i/>
          <w:iCs/>
        </w:rPr>
        <w:t xml:space="preserve">funnel </w:t>
      </w:r>
      <w:r>
        <w:rPr>
          <w:rFonts w:cstheme="minorHAnsi"/>
        </w:rPr>
        <w:t xml:space="preserve">would be zero; in other cases, the leak ratio would be between zero and one. </w:t>
      </w:r>
    </w:p>
    <w:p w14:paraId="2CD53827" w14:textId="27B89432" w:rsidR="000962D0" w:rsidRDefault="000962D0" w:rsidP="000962D0">
      <w:pPr>
        <w:jc w:val="center"/>
        <w:rPr>
          <w:rFonts w:cstheme="minorHAnsi"/>
          <w:b/>
          <w:bCs/>
        </w:rPr>
      </w:pPr>
      <w:r>
        <w:rPr>
          <w:rFonts w:cstheme="minorHAnsi"/>
          <w:b/>
          <w:noProof/>
        </w:rPr>
        <w:drawing>
          <wp:inline distT="0" distB="0" distL="0" distR="0" wp14:anchorId="6FB814B1" wp14:editId="29C28D6F">
            <wp:extent cx="5562600" cy="3381375"/>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62600" cy="3381375"/>
                    </a:xfrm>
                    <a:prstGeom prst="rect">
                      <a:avLst/>
                    </a:prstGeom>
                    <a:noFill/>
                    <a:ln>
                      <a:noFill/>
                    </a:ln>
                  </pic:spPr>
                </pic:pic>
              </a:graphicData>
            </a:graphic>
          </wp:inline>
        </w:drawing>
      </w:r>
    </w:p>
    <w:p w14:paraId="0AD7E9DE" w14:textId="77777777" w:rsidR="000962D0" w:rsidRDefault="000962D0" w:rsidP="000962D0">
      <w:pPr>
        <w:rPr>
          <w:rFonts w:cstheme="minorHAnsi"/>
        </w:rPr>
      </w:pPr>
      <w:r>
        <w:rPr>
          <w:rFonts w:cstheme="minorHAnsi"/>
          <w:b/>
          <w:bCs/>
        </w:rPr>
        <w:t>Figure A1.</w:t>
      </w:r>
      <w:r>
        <w:rPr>
          <w:rFonts w:cstheme="minorHAnsi"/>
        </w:rPr>
        <w:t xml:space="preserve"> In this demo, we assume fire would spread towards a WUI from the north end of the </w:t>
      </w:r>
      <w:r>
        <w:rPr>
          <w:rFonts w:cstheme="minorHAnsi"/>
          <w:i/>
          <w:iCs/>
        </w:rPr>
        <w:t>funnel</w:t>
      </w:r>
      <w:r>
        <w:rPr>
          <w:rFonts w:cstheme="minorHAnsi"/>
        </w:rPr>
        <w:t xml:space="preserve"> and a WUI is located at the south end of the </w:t>
      </w:r>
      <w:r>
        <w:rPr>
          <w:rFonts w:cstheme="minorHAnsi"/>
          <w:i/>
          <w:iCs/>
        </w:rPr>
        <w:t>funnel</w:t>
      </w:r>
      <w:r>
        <w:rPr>
          <w:rFonts w:cstheme="minorHAnsi"/>
        </w:rPr>
        <w:t xml:space="preserve">. (a) shows the sequence of cells being added into the </w:t>
      </w:r>
      <w:r>
        <w:rPr>
          <w:rFonts w:cstheme="minorHAnsi"/>
          <w:i/>
          <w:iCs/>
        </w:rPr>
        <w:t>funnel</w:t>
      </w:r>
      <w:r>
        <w:rPr>
          <w:rFonts w:cstheme="minorHAnsi"/>
        </w:rPr>
        <w:t xml:space="preserve">. A) also shows a case that fire from the wider end of the funnel edge can spread to the WUI without encountering any </w:t>
      </w:r>
      <w:proofErr w:type="spellStart"/>
      <w:r>
        <w:rPr>
          <w:rFonts w:cstheme="minorHAnsi"/>
        </w:rPr>
        <w:t>fireline</w:t>
      </w:r>
      <w:proofErr w:type="spellEnd"/>
      <w:r>
        <w:rPr>
          <w:rFonts w:cstheme="minorHAnsi"/>
        </w:rPr>
        <w:t xml:space="preserve">. (b) shows a case with </w:t>
      </w:r>
      <w:proofErr w:type="spellStart"/>
      <w:r>
        <w:rPr>
          <w:rFonts w:cstheme="minorHAnsi"/>
        </w:rPr>
        <w:t>firelines</w:t>
      </w:r>
      <w:proofErr w:type="spellEnd"/>
      <w:r>
        <w:rPr>
          <w:rFonts w:cstheme="minorHAnsi"/>
        </w:rPr>
        <w:t xml:space="preserve"> built in the funnel and the calculation of “</w:t>
      </w:r>
      <w:r>
        <w:rPr>
          <w:rFonts w:cstheme="minorHAnsi"/>
          <w:i/>
          <w:iCs/>
        </w:rPr>
        <w:t>leak ratio</w:t>
      </w:r>
      <w:r>
        <w:rPr>
          <w:rFonts w:cstheme="minorHAnsi"/>
        </w:rPr>
        <w:t xml:space="preserve">” after considering the effect of </w:t>
      </w:r>
      <w:proofErr w:type="spellStart"/>
      <w:r>
        <w:rPr>
          <w:rFonts w:cstheme="minorHAnsi"/>
        </w:rPr>
        <w:t>fireline</w:t>
      </w:r>
      <w:proofErr w:type="spellEnd"/>
      <w:r>
        <w:rPr>
          <w:rFonts w:cstheme="minorHAnsi"/>
        </w:rPr>
        <w:t xml:space="preserve"> is about 4÷9 = ~0.44. </w:t>
      </w:r>
    </w:p>
    <w:p w14:paraId="183397E2" w14:textId="77777777" w:rsidR="000962D0" w:rsidRDefault="000962D0" w:rsidP="000962D0">
      <w:pPr>
        <w:rPr>
          <w:rFonts w:cstheme="minorHAnsi"/>
          <w:b/>
          <w:bCs/>
          <w:i/>
          <w:iCs/>
        </w:rPr>
      </w:pPr>
    </w:p>
    <w:p w14:paraId="0E566F5A" w14:textId="77777777" w:rsidR="000962D0" w:rsidRDefault="000962D0" w:rsidP="000962D0">
      <w:pPr>
        <w:rPr>
          <w:rFonts w:cstheme="minorHAnsi"/>
          <w:b/>
          <w:bCs/>
          <w:i/>
          <w:iCs/>
        </w:rPr>
      </w:pPr>
      <w:r>
        <w:rPr>
          <w:rFonts w:cstheme="minorHAnsi"/>
          <w:b/>
          <w:bCs/>
          <w:i/>
          <w:iCs/>
        </w:rPr>
        <w:br w:type="page"/>
      </w:r>
    </w:p>
    <w:p w14:paraId="24FA96A8" w14:textId="77777777" w:rsidR="000962D0" w:rsidRDefault="000962D0" w:rsidP="000962D0">
      <w:pPr>
        <w:rPr>
          <w:rFonts w:cstheme="minorHAnsi"/>
          <w:b/>
          <w:bCs/>
          <w:i/>
          <w:iCs/>
        </w:rPr>
      </w:pPr>
      <w:r>
        <w:rPr>
          <w:rFonts w:cstheme="minorHAnsi"/>
          <w:b/>
          <w:bCs/>
          <w:i/>
          <w:iCs/>
        </w:rPr>
        <w:lastRenderedPageBreak/>
        <w:t xml:space="preserve">Appendix II: </w:t>
      </w:r>
    </w:p>
    <w:p w14:paraId="3C725F08" w14:textId="77777777" w:rsidR="000962D0" w:rsidRDefault="000962D0" w:rsidP="000962D0">
      <w:pPr>
        <w:rPr>
          <w:rFonts w:cstheme="minorHAnsi"/>
        </w:rPr>
      </w:pPr>
      <w:r>
        <w:rPr>
          <w:rFonts w:cstheme="minorHAnsi"/>
          <w:b/>
          <w:bCs/>
          <w:i/>
          <w:iCs/>
        </w:rPr>
        <w:t xml:space="preserve">Table A1: </w:t>
      </w:r>
      <w:r>
        <w:rPr>
          <w:rFonts w:cstheme="minorHAnsi"/>
        </w:rPr>
        <w:t xml:space="preserve">The weather station codes used for each fire through the </w:t>
      </w:r>
      <w:r>
        <w:rPr>
          <w:rFonts w:cstheme="minorHAnsi"/>
          <w:i/>
          <w:iCs/>
        </w:rPr>
        <w:t>Synoptic Data portal</w:t>
      </w:r>
      <w:r>
        <w:rPr>
          <w:rFonts w:cstheme="minorHAnsi"/>
        </w:rPr>
        <w:t>.</w:t>
      </w:r>
    </w:p>
    <w:tbl>
      <w:tblPr>
        <w:tblW w:w="9355"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1980"/>
        <w:gridCol w:w="7375"/>
      </w:tblGrid>
      <w:tr w:rsidR="000962D0" w14:paraId="727AD58E" w14:textId="77777777" w:rsidTr="000962D0">
        <w:trPr>
          <w:trHeight w:val="290"/>
        </w:trPr>
        <w:tc>
          <w:tcPr>
            <w:tcW w:w="1980" w:type="dxa"/>
            <w:tcBorders>
              <w:top w:val="single" w:sz="4" w:space="0" w:color="auto"/>
              <w:left w:val="nil"/>
              <w:bottom w:val="single" w:sz="4" w:space="0" w:color="auto"/>
              <w:right w:val="nil"/>
            </w:tcBorders>
            <w:noWrap/>
            <w:tcMar>
              <w:top w:w="15" w:type="dxa"/>
              <w:left w:w="15" w:type="dxa"/>
              <w:bottom w:w="0" w:type="dxa"/>
              <w:right w:w="15" w:type="dxa"/>
            </w:tcMar>
            <w:vAlign w:val="bottom"/>
            <w:hideMark/>
          </w:tcPr>
          <w:p w14:paraId="0AB491FF"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Fire Name</w:t>
            </w:r>
          </w:p>
        </w:tc>
        <w:tc>
          <w:tcPr>
            <w:tcW w:w="7375" w:type="dxa"/>
            <w:tcBorders>
              <w:top w:val="single" w:sz="4" w:space="0" w:color="auto"/>
              <w:left w:val="nil"/>
              <w:bottom w:val="single" w:sz="4" w:space="0" w:color="auto"/>
              <w:right w:val="nil"/>
            </w:tcBorders>
            <w:noWrap/>
            <w:tcMar>
              <w:top w:w="15" w:type="dxa"/>
              <w:left w:w="15" w:type="dxa"/>
              <w:bottom w:w="0" w:type="dxa"/>
              <w:right w:w="15" w:type="dxa"/>
            </w:tcMar>
            <w:vAlign w:val="bottom"/>
            <w:hideMark/>
          </w:tcPr>
          <w:p w14:paraId="4C51A02E"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Weather Station IDs</w:t>
            </w:r>
          </w:p>
        </w:tc>
      </w:tr>
      <w:tr w:rsidR="000962D0" w14:paraId="0EE8E3D7" w14:textId="77777777" w:rsidTr="000962D0">
        <w:trPr>
          <w:trHeight w:val="290"/>
        </w:trPr>
        <w:tc>
          <w:tcPr>
            <w:tcW w:w="1980" w:type="dxa"/>
            <w:tcBorders>
              <w:top w:val="single" w:sz="4" w:space="0" w:color="auto"/>
              <w:left w:val="nil"/>
              <w:bottom w:val="nil"/>
              <w:right w:val="nil"/>
            </w:tcBorders>
            <w:noWrap/>
            <w:tcMar>
              <w:top w:w="15" w:type="dxa"/>
              <w:left w:w="15" w:type="dxa"/>
              <w:bottom w:w="0" w:type="dxa"/>
              <w:right w:w="15" w:type="dxa"/>
            </w:tcMar>
            <w:vAlign w:val="bottom"/>
            <w:hideMark/>
          </w:tcPr>
          <w:p w14:paraId="6D5FA869" w14:textId="77777777" w:rsidR="000962D0" w:rsidRDefault="000962D0">
            <w:pPr>
              <w:spacing w:after="0" w:line="360" w:lineRule="auto"/>
              <w:jc w:val="center"/>
              <w:rPr>
                <w:rFonts w:ascii="Calibri" w:eastAsia="Times New Roman" w:hAnsi="Calibri" w:cs="Calibri"/>
                <w:b/>
                <w:bCs/>
                <w:color w:val="000000"/>
                <w:sz w:val="20"/>
                <w:szCs w:val="20"/>
              </w:rPr>
            </w:pPr>
            <w:proofErr w:type="spellStart"/>
            <w:r>
              <w:rPr>
                <w:rFonts w:ascii="Calibri" w:hAnsi="Calibri" w:cs="Calibri"/>
                <w:b/>
                <w:bCs/>
                <w:sz w:val="20"/>
                <w:szCs w:val="20"/>
              </w:rPr>
              <w:t>Brianhead</w:t>
            </w:r>
            <w:proofErr w:type="spellEnd"/>
          </w:p>
        </w:tc>
        <w:tc>
          <w:tcPr>
            <w:tcW w:w="7375" w:type="dxa"/>
            <w:tcBorders>
              <w:top w:val="single" w:sz="4" w:space="0" w:color="auto"/>
              <w:left w:val="nil"/>
              <w:bottom w:val="nil"/>
              <w:right w:val="nil"/>
            </w:tcBorders>
            <w:noWrap/>
            <w:tcMar>
              <w:top w:w="15" w:type="dxa"/>
              <w:left w:w="15" w:type="dxa"/>
              <w:bottom w:w="0" w:type="dxa"/>
              <w:right w:w="15" w:type="dxa"/>
            </w:tcMar>
            <w:vAlign w:val="bottom"/>
            <w:hideMark/>
          </w:tcPr>
          <w:p w14:paraId="09CCBFDB"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BHCU1; BRHU1; COOPPAGU1; CTMU1; CVYU1; PGLU1; PNGU1; UCC19; UCC20; UTR20; YKEU1; </w:t>
            </w:r>
          </w:p>
        </w:tc>
      </w:tr>
      <w:tr w:rsidR="000962D0" w14:paraId="08BA406D"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17797A30" w14:textId="77777777" w:rsidR="000962D0" w:rsidRDefault="000962D0">
            <w:pPr>
              <w:spacing w:after="0" w:line="360" w:lineRule="auto"/>
              <w:jc w:val="center"/>
              <w:rPr>
                <w:rFonts w:ascii="Calibri" w:eastAsia="Times New Roman" w:hAnsi="Calibri" w:cs="Calibri"/>
                <w:b/>
                <w:bCs/>
                <w:color w:val="000000"/>
                <w:sz w:val="20"/>
                <w:szCs w:val="20"/>
              </w:rPr>
            </w:pPr>
            <w:proofErr w:type="spellStart"/>
            <w:r>
              <w:rPr>
                <w:rFonts w:ascii="Calibri" w:hAnsi="Calibri" w:cs="Calibri"/>
                <w:b/>
                <w:bCs/>
                <w:sz w:val="20"/>
                <w:szCs w:val="20"/>
              </w:rPr>
              <w:t>Carr</w:t>
            </w:r>
            <w:proofErr w:type="spellEnd"/>
          </w:p>
        </w:tc>
        <w:tc>
          <w:tcPr>
            <w:tcW w:w="7375" w:type="dxa"/>
            <w:tcBorders>
              <w:top w:val="nil"/>
              <w:left w:val="nil"/>
              <w:bottom w:val="nil"/>
              <w:right w:val="nil"/>
            </w:tcBorders>
            <w:noWrap/>
            <w:tcMar>
              <w:top w:w="15" w:type="dxa"/>
              <w:left w:w="15" w:type="dxa"/>
              <w:bottom w:w="0" w:type="dxa"/>
              <w:right w:w="15" w:type="dxa"/>
            </w:tcMar>
            <w:vAlign w:val="bottom"/>
            <w:hideMark/>
          </w:tcPr>
          <w:p w14:paraId="2A513711"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BDYC1; CLCC1; CQ098; CTBSN; HDLC1; LSHC1; MMOC1; OBRC1; RFSC1; SFKC1; SHDC1; SLFC1; TCAC1; TRWC1; </w:t>
            </w:r>
          </w:p>
        </w:tc>
      </w:tr>
      <w:tr w:rsidR="000962D0" w14:paraId="293BF8A0"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6C464061"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hAnsi="Calibri" w:cs="Calibri"/>
                <w:b/>
                <w:bCs/>
                <w:sz w:val="20"/>
                <w:szCs w:val="20"/>
              </w:rPr>
              <w:t>Crescent Mountain</w:t>
            </w:r>
          </w:p>
        </w:tc>
        <w:tc>
          <w:tcPr>
            <w:tcW w:w="7375" w:type="dxa"/>
            <w:tcBorders>
              <w:top w:val="nil"/>
              <w:left w:val="nil"/>
              <w:bottom w:val="nil"/>
              <w:right w:val="nil"/>
            </w:tcBorders>
            <w:noWrap/>
            <w:tcMar>
              <w:top w:w="15" w:type="dxa"/>
              <w:left w:w="15" w:type="dxa"/>
              <w:bottom w:w="0" w:type="dxa"/>
              <w:right w:w="15" w:type="dxa"/>
            </w:tcMar>
            <w:vAlign w:val="bottom"/>
            <w:hideMark/>
          </w:tcPr>
          <w:p w14:paraId="5E20BE93"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COOPMZAW1; COOPSTEW1; MAZ22; RAIW1; RDHW1; STRW1; USGSHY657; USGSHY666; WAP55; WAP67; </w:t>
            </w:r>
          </w:p>
        </w:tc>
      </w:tr>
      <w:tr w:rsidR="000962D0" w14:paraId="6E43DEED"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7CBDE930"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hAnsi="Calibri" w:cs="Calibri"/>
                <w:b/>
                <w:bCs/>
                <w:sz w:val="20"/>
                <w:szCs w:val="20"/>
              </w:rPr>
              <w:t>Ferguson</w:t>
            </w:r>
          </w:p>
        </w:tc>
        <w:tc>
          <w:tcPr>
            <w:tcW w:w="7375" w:type="dxa"/>
            <w:tcBorders>
              <w:top w:val="nil"/>
              <w:left w:val="nil"/>
              <w:bottom w:val="nil"/>
              <w:right w:val="nil"/>
            </w:tcBorders>
            <w:noWrap/>
            <w:tcMar>
              <w:top w:w="15" w:type="dxa"/>
              <w:left w:w="15" w:type="dxa"/>
              <w:bottom w:w="0" w:type="dxa"/>
              <w:right w:w="15" w:type="dxa"/>
            </w:tcMar>
            <w:vAlign w:val="bottom"/>
            <w:hideMark/>
          </w:tcPr>
          <w:p w14:paraId="1CA7D931"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C1522; CNFC1; CQ160; CQ168; D0826; EPWC1; GFTC1; JSDC1; MAGC1; MBBC1; MIAC1; WCFC1; WWNC1; YVVC1; YWAC1; </w:t>
            </w:r>
          </w:p>
        </w:tc>
      </w:tr>
      <w:tr w:rsidR="000962D0" w14:paraId="77DF7156"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3CCC17CB"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hAnsi="Calibri" w:cs="Calibri"/>
                <w:b/>
                <w:bCs/>
                <w:sz w:val="20"/>
                <w:szCs w:val="20"/>
              </w:rPr>
              <w:t>Gold Hill</w:t>
            </w:r>
          </w:p>
        </w:tc>
        <w:tc>
          <w:tcPr>
            <w:tcW w:w="7375" w:type="dxa"/>
            <w:tcBorders>
              <w:top w:val="nil"/>
              <w:left w:val="nil"/>
              <w:bottom w:val="nil"/>
              <w:right w:val="nil"/>
            </w:tcBorders>
            <w:noWrap/>
            <w:tcMar>
              <w:top w:w="15" w:type="dxa"/>
              <w:left w:w="15" w:type="dxa"/>
              <w:bottom w:w="0" w:type="dxa"/>
              <w:right w:w="15" w:type="dxa"/>
            </w:tcMar>
            <w:vAlign w:val="bottom"/>
            <w:hideMark/>
          </w:tcPr>
          <w:p w14:paraId="7CB99D96"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BANM8; BIFM8; COOPLIBM8; COOPTRSM8; KS59; LBBM8; MTYAK; S599; TROM8; TS259; TT166; TT481; YKAM8; ZONM8; </w:t>
            </w:r>
          </w:p>
        </w:tc>
      </w:tr>
      <w:tr w:rsidR="000962D0" w14:paraId="64AAD00D"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520BD52B" w14:textId="77777777" w:rsidR="000962D0" w:rsidRDefault="000962D0">
            <w:pPr>
              <w:spacing w:after="0" w:line="360" w:lineRule="auto"/>
              <w:jc w:val="center"/>
              <w:rPr>
                <w:rFonts w:ascii="Calibri" w:eastAsia="Times New Roman" w:hAnsi="Calibri" w:cs="Calibri"/>
                <w:b/>
                <w:bCs/>
                <w:color w:val="000000"/>
                <w:sz w:val="20"/>
                <w:szCs w:val="20"/>
              </w:rPr>
            </w:pPr>
            <w:proofErr w:type="spellStart"/>
            <w:r>
              <w:rPr>
                <w:rFonts w:ascii="Calibri" w:hAnsi="Calibri" w:cs="Calibri"/>
                <w:b/>
                <w:bCs/>
                <w:sz w:val="20"/>
                <w:szCs w:val="20"/>
              </w:rPr>
              <w:t>Hirz</w:t>
            </w:r>
            <w:proofErr w:type="spellEnd"/>
          </w:p>
        </w:tc>
        <w:tc>
          <w:tcPr>
            <w:tcW w:w="7375" w:type="dxa"/>
            <w:tcBorders>
              <w:top w:val="nil"/>
              <w:left w:val="nil"/>
              <w:bottom w:val="nil"/>
              <w:right w:val="nil"/>
            </w:tcBorders>
            <w:noWrap/>
            <w:tcMar>
              <w:top w:w="15" w:type="dxa"/>
              <w:left w:w="15" w:type="dxa"/>
              <w:bottom w:w="0" w:type="dxa"/>
              <w:right w:w="15" w:type="dxa"/>
            </w:tcMar>
            <w:vAlign w:val="bottom"/>
            <w:hideMark/>
          </w:tcPr>
          <w:p w14:paraId="2AFDC63D"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BNKC1; CTANT; CTVOL; GISC1; GRDC1; HRZC1; LSHC1; SLFC1; SMSC1; UP595; UP627; UP670; </w:t>
            </w:r>
          </w:p>
        </w:tc>
      </w:tr>
      <w:tr w:rsidR="000962D0" w14:paraId="0BB2FBF9"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07FC5DEA"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hAnsi="Calibri" w:cs="Calibri"/>
                <w:b/>
                <w:bCs/>
                <w:sz w:val="20"/>
                <w:szCs w:val="20"/>
              </w:rPr>
              <w:t>Klondike</w:t>
            </w:r>
          </w:p>
        </w:tc>
        <w:tc>
          <w:tcPr>
            <w:tcW w:w="7375" w:type="dxa"/>
            <w:tcBorders>
              <w:top w:val="nil"/>
              <w:left w:val="nil"/>
              <w:bottom w:val="nil"/>
              <w:right w:val="nil"/>
            </w:tcBorders>
            <w:noWrap/>
            <w:tcMar>
              <w:top w:w="15" w:type="dxa"/>
              <w:left w:w="15" w:type="dxa"/>
              <w:bottom w:w="0" w:type="dxa"/>
              <w:right w:w="15" w:type="dxa"/>
            </w:tcMar>
            <w:vAlign w:val="bottom"/>
            <w:hideMark/>
          </w:tcPr>
          <w:p w14:paraId="77AB8FA7"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AGFO3; E4806; E7191; K3S8; ODT23; </w:t>
            </w:r>
          </w:p>
        </w:tc>
      </w:tr>
      <w:tr w:rsidR="000962D0" w14:paraId="154E84AD"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6C792E23"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hAnsi="Calibri" w:cs="Calibri"/>
                <w:b/>
                <w:bCs/>
                <w:sz w:val="20"/>
                <w:szCs w:val="20"/>
              </w:rPr>
              <w:t>Lolo Peak</w:t>
            </w:r>
          </w:p>
        </w:tc>
        <w:tc>
          <w:tcPr>
            <w:tcW w:w="7375" w:type="dxa"/>
            <w:tcBorders>
              <w:top w:val="nil"/>
              <w:left w:val="nil"/>
              <w:bottom w:val="nil"/>
              <w:right w:val="nil"/>
            </w:tcBorders>
            <w:noWrap/>
            <w:tcMar>
              <w:top w:w="15" w:type="dxa"/>
              <w:left w:w="15" w:type="dxa"/>
              <w:bottom w:w="0" w:type="dxa"/>
              <w:right w:w="15" w:type="dxa"/>
            </w:tcMar>
            <w:vAlign w:val="bottom"/>
            <w:hideMark/>
          </w:tcPr>
          <w:p w14:paraId="7FEBD4C5"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COOPSTEM8; E0591; ITD28; LOLM8; LPSI1; MOMM8; MTM01; SMTM8; STVM8; TS934; </w:t>
            </w:r>
          </w:p>
        </w:tc>
      </w:tr>
      <w:tr w:rsidR="000962D0" w14:paraId="73B7F08D"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0044A51D"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hAnsi="Calibri" w:cs="Calibri"/>
                <w:b/>
                <w:bCs/>
                <w:sz w:val="20"/>
                <w:szCs w:val="20"/>
              </w:rPr>
              <w:t>Meyers</w:t>
            </w:r>
          </w:p>
        </w:tc>
        <w:tc>
          <w:tcPr>
            <w:tcW w:w="7375" w:type="dxa"/>
            <w:tcBorders>
              <w:top w:val="nil"/>
              <w:left w:val="nil"/>
              <w:bottom w:val="nil"/>
              <w:right w:val="nil"/>
            </w:tcBorders>
            <w:noWrap/>
            <w:tcMar>
              <w:top w:w="15" w:type="dxa"/>
              <w:left w:w="15" w:type="dxa"/>
              <w:bottom w:w="0" w:type="dxa"/>
              <w:right w:w="15" w:type="dxa"/>
            </w:tcMar>
            <w:vAlign w:val="bottom"/>
            <w:hideMark/>
          </w:tcPr>
          <w:p w14:paraId="647EE8DA"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BRLM8; CLVM8; COOPSLAM8; DALM8; DEEM8; GPRM8; ITD87; MTGTL; PHGM8; PTNM8; SKAM8; SUAM8; TEPM8; TT282; </w:t>
            </w:r>
          </w:p>
        </w:tc>
      </w:tr>
      <w:tr w:rsidR="000962D0" w14:paraId="6B7A2FF8" w14:textId="77777777" w:rsidTr="000962D0">
        <w:trPr>
          <w:trHeight w:val="290"/>
        </w:trPr>
        <w:tc>
          <w:tcPr>
            <w:tcW w:w="1980" w:type="dxa"/>
            <w:tcBorders>
              <w:top w:val="nil"/>
              <w:left w:val="nil"/>
              <w:bottom w:val="nil"/>
              <w:right w:val="nil"/>
            </w:tcBorders>
            <w:noWrap/>
            <w:tcMar>
              <w:top w:w="15" w:type="dxa"/>
              <w:left w:w="15" w:type="dxa"/>
              <w:bottom w:w="0" w:type="dxa"/>
              <w:right w:w="15" w:type="dxa"/>
            </w:tcMar>
            <w:vAlign w:val="bottom"/>
            <w:hideMark/>
          </w:tcPr>
          <w:p w14:paraId="72943506"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hAnsi="Calibri" w:cs="Calibri"/>
                <w:b/>
                <w:bCs/>
                <w:sz w:val="20"/>
                <w:szCs w:val="20"/>
              </w:rPr>
              <w:t>Silver Creek</w:t>
            </w:r>
          </w:p>
        </w:tc>
        <w:tc>
          <w:tcPr>
            <w:tcW w:w="7375" w:type="dxa"/>
            <w:tcBorders>
              <w:top w:val="nil"/>
              <w:left w:val="nil"/>
              <w:bottom w:val="nil"/>
              <w:right w:val="nil"/>
            </w:tcBorders>
            <w:noWrap/>
            <w:tcMar>
              <w:top w:w="15" w:type="dxa"/>
              <w:left w:w="15" w:type="dxa"/>
              <w:bottom w:w="0" w:type="dxa"/>
              <w:right w:w="15" w:type="dxa"/>
            </w:tcMar>
            <w:vAlign w:val="bottom"/>
            <w:hideMark/>
          </w:tcPr>
          <w:p w14:paraId="3AC32549"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ARPC2; BUFC2; C9561; COLC2; COOPKMLC2; CSU61; GSPC2; KC07; LYNC2; PCPC2; RESC2; YCAC2; </w:t>
            </w:r>
          </w:p>
        </w:tc>
      </w:tr>
      <w:tr w:rsidR="000962D0" w14:paraId="357A6552" w14:textId="77777777" w:rsidTr="000962D0">
        <w:trPr>
          <w:trHeight w:val="290"/>
        </w:trPr>
        <w:tc>
          <w:tcPr>
            <w:tcW w:w="1980" w:type="dxa"/>
            <w:tcBorders>
              <w:top w:val="nil"/>
              <w:left w:val="nil"/>
              <w:bottom w:val="single" w:sz="4" w:space="0" w:color="auto"/>
              <w:right w:val="nil"/>
            </w:tcBorders>
            <w:noWrap/>
            <w:tcMar>
              <w:top w:w="15" w:type="dxa"/>
              <w:left w:w="15" w:type="dxa"/>
              <w:bottom w:w="0" w:type="dxa"/>
              <w:right w:w="15" w:type="dxa"/>
            </w:tcMar>
            <w:vAlign w:val="bottom"/>
            <w:hideMark/>
          </w:tcPr>
          <w:p w14:paraId="498F1DC0" w14:textId="77777777" w:rsidR="000962D0" w:rsidRDefault="000962D0">
            <w:pPr>
              <w:spacing w:after="0" w:line="360" w:lineRule="auto"/>
              <w:jc w:val="center"/>
              <w:rPr>
                <w:rFonts w:ascii="Calibri" w:eastAsia="Times New Roman" w:hAnsi="Calibri" w:cs="Calibri"/>
                <w:b/>
                <w:bCs/>
                <w:color w:val="000000"/>
                <w:sz w:val="20"/>
                <w:szCs w:val="20"/>
              </w:rPr>
            </w:pPr>
            <w:r>
              <w:rPr>
                <w:rFonts w:ascii="Calibri" w:hAnsi="Calibri" w:cs="Calibri"/>
                <w:b/>
                <w:bCs/>
                <w:sz w:val="20"/>
                <w:szCs w:val="20"/>
              </w:rPr>
              <w:t>West Valley</w:t>
            </w:r>
          </w:p>
        </w:tc>
        <w:tc>
          <w:tcPr>
            <w:tcW w:w="7375" w:type="dxa"/>
            <w:tcBorders>
              <w:top w:val="nil"/>
              <w:left w:val="nil"/>
              <w:bottom w:val="single" w:sz="4" w:space="0" w:color="auto"/>
              <w:right w:val="nil"/>
            </w:tcBorders>
            <w:noWrap/>
            <w:tcMar>
              <w:top w:w="15" w:type="dxa"/>
              <w:left w:w="15" w:type="dxa"/>
              <w:bottom w:w="0" w:type="dxa"/>
              <w:right w:w="15" w:type="dxa"/>
            </w:tcMar>
            <w:vAlign w:val="bottom"/>
            <w:hideMark/>
          </w:tcPr>
          <w:p w14:paraId="127534E1" w14:textId="77777777" w:rsidR="000962D0" w:rsidRDefault="000962D0">
            <w:pPr>
              <w:spacing w:after="0" w:line="360" w:lineRule="auto"/>
              <w:rPr>
                <w:rFonts w:ascii="Calibri" w:eastAsia="Times New Roman" w:hAnsi="Calibri" w:cs="Calibri"/>
                <w:color w:val="000000"/>
                <w:sz w:val="20"/>
                <w:szCs w:val="20"/>
              </w:rPr>
            </w:pPr>
            <w:r>
              <w:rPr>
                <w:rFonts w:ascii="Calibri" w:eastAsia="Times New Roman" w:hAnsi="Calibri" w:cs="Calibri"/>
                <w:color w:val="000000"/>
                <w:sz w:val="20"/>
                <w:szCs w:val="20"/>
              </w:rPr>
              <w:t xml:space="preserve">CAVU1; CDCU1; COOPNHRU1; FG016; GAPU1; LGFU1; LPRU1; TS716; UTBLK; UTTP3; VEYU1; WRRU1; </w:t>
            </w:r>
          </w:p>
        </w:tc>
      </w:tr>
    </w:tbl>
    <w:p w14:paraId="338DBC81" w14:textId="77777777" w:rsidR="000962D0" w:rsidRDefault="000962D0" w:rsidP="000962D0">
      <w:pPr>
        <w:rPr>
          <w:rFonts w:cstheme="minorHAnsi"/>
          <w:b/>
          <w:bCs/>
          <w:i/>
          <w:iCs/>
        </w:rPr>
      </w:pPr>
      <w:r>
        <w:rPr>
          <w:rFonts w:cstheme="minorHAnsi"/>
          <w:b/>
          <w:bCs/>
          <w:i/>
          <w:iCs/>
        </w:rPr>
        <w:t xml:space="preserve"> </w:t>
      </w:r>
      <w:r>
        <w:rPr>
          <w:rFonts w:cstheme="minorHAnsi"/>
          <w:b/>
          <w:bCs/>
          <w:i/>
          <w:iCs/>
        </w:rPr>
        <w:br w:type="page"/>
      </w:r>
    </w:p>
    <w:p w14:paraId="5F855FCD" w14:textId="77777777" w:rsidR="000962D0" w:rsidRDefault="000962D0" w:rsidP="000962D0">
      <w:pPr>
        <w:pStyle w:val="CommentText"/>
        <w:rPr>
          <w:rFonts w:cstheme="minorHAnsi"/>
          <w:b/>
          <w:bCs/>
          <w:i/>
          <w:iCs/>
          <w:sz w:val="22"/>
          <w:szCs w:val="22"/>
        </w:rPr>
      </w:pPr>
      <w:r>
        <w:rPr>
          <w:rFonts w:cstheme="minorHAnsi"/>
          <w:b/>
          <w:bCs/>
          <w:i/>
          <w:iCs/>
          <w:sz w:val="22"/>
          <w:szCs w:val="22"/>
        </w:rPr>
        <w:lastRenderedPageBreak/>
        <w:t>Appendix III</w:t>
      </w:r>
    </w:p>
    <w:p w14:paraId="1AB92B7E" w14:textId="27A5D564" w:rsidR="000962D0" w:rsidRDefault="000962D0" w:rsidP="000962D0">
      <w:pPr>
        <w:rPr>
          <w:rFonts w:cstheme="minorHAnsi"/>
        </w:rPr>
      </w:pPr>
      <w:r>
        <w:rPr>
          <w:rFonts w:cstheme="minorHAnsi"/>
          <w:noProof/>
          <w:sz w:val="24"/>
          <w:szCs w:val="24"/>
        </w:rPr>
        <w:drawing>
          <wp:inline distT="0" distB="0" distL="0" distR="0" wp14:anchorId="03FEB5C1" wp14:editId="438D87F7">
            <wp:extent cx="5162550" cy="1990725"/>
            <wp:effectExtent l="0" t="0" r="0" b="0"/>
            <wp:docPr id="3" name="Picture 3"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hart, bar chart, histogram&#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62550" cy="1990725"/>
                    </a:xfrm>
                    <a:prstGeom prst="rect">
                      <a:avLst/>
                    </a:prstGeom>
                    <a:noFill/>
                    <a:ln>
                      <a:noFill/>
                    </a:ln>
                  </pic:spPr>
                </pic:pic>
              </a:graphicData>
            </a:graphic>
          </wp:inline>
        </w:drawing>
      </w:r>
    </w:p>
    <w:p w14:paraId="4CC64974" w14:textId="77777777" w:rsidR="000962D0" w:rsidRDefault="000962D0" w:rsidP="000962D0">
      <w:pPr>
        <w:rPr>
          <w:rFonts w:cstheme="minorHAnsi"/>
        </w:rPr>
      </w:pPr>
      <w:r>
        <w:rPr>
          <w:rFonts w:cstheme="minorHAnsi"/>
          <w:b/>
          <w:bCs/>
        </w:rPr>
        <w:t>Figure A2.</w:t>
      </w:r>
      <w:r>
        <w:rPr>
          <w:rFonts w:cstheme="minorHAnsi"/>
        </w:rPr>
        <w:t xml:space="preserve"> Histogram showing the distributions of average hourly wind gust speed within the (a) one-day, (b) two-day, or (c) three-day windows before a fire first impacted a WUI block (for impacted WUI) or before a fire was finally contained (for not-impacted WUI). Analysis suggests that using a two-day window provides the cleanest classification results based on the given samples. </w:t>
      </w:r>
    </w:p>
    <w:p w14:paraId="6DFCC852" w14:textId="77777777" w:rsidR="000962D0" w:rsidRDefault="000962D0" w:rsidP="000962D0">
      <w:pPr>
        <w:pStyle w:val="CommentText"/>
        <w:rPr>
          <w:rFonts w:cstheme="minorHAnsi"/>
          <w:b/>
          <w:bCs/>
          <w:i/>
          <w:iCs/>
          <w:sz w:val="22"/>
          <w:szCs w:val="22"/>
        </w:rPr>
      </w:pPr>
    </w:p>
    <w:p w14:paraId="159DE22F" w14:textId="77777777" w:rsidR="000962D0" w:rsidRDefault="000962D0" w:rsidP="000962D0">
      <w:pPr>
        <w:rPr>
          <w:rFonts w:cstheme="minorHAnsi"/>
          <w:b/>
          <w:bCs/>
          <w:i/>
          <w:iCs/>
        </w:rPr>
      </w:pPr>
      <w:r>
        <w:rPr>
          <w:rFonts w:cstheme="minorHAnsi"/>
          <w:b/>
          <w:bCs/>
          <w:i/>
          <w:iCs/>
        </w:rPr>
        <w:br w:type="page"/>
      </w:r>
    </w:p>
    <w:p w14:paraId="64FAEA3B" w14:textId="77777777" w:rsidR="000962D0" w:rsidRDefault="000962D0" w:rsidP="000962D0">
      <w:pPr>
        <w:pStyle w:val="CommentText"/>
        <w:rPr>
          <w:rFonts w:cstheme="minorHAnsi"/>
          <w:b/>
          <w:bCs/>
          <w:i/>
          <w:iCs/>
          <w:sz w:val="22"/>
          <w:szCs w:val="22"/>
        </w:rPr>
      </w:pPr>
      <w:r>
        <w:rPr>
          <w:rFonts w:cstheme="minorHAnsi"/>
          <w:b/>
          <w:bCs/>
          <w:i/>
          <w:iCs/>
          <w:sz w:val="22"/>
          <w:szCs w:val="22"/>
        </w:rPr>
        <w:lastRenderedPageBreak/>
        <w:t>Appendix IV: Additional descriptive statistics of the explanatory variables</w:t>
      </w:r>
    </w:p>
    <w:p w14:paraId="08F8CC61" w14:textId="44BA0299" w:rsidR="000962D0" w:rsidRDefault="000962D0" w:rsidP="000962D0">
      <w:pPr>
        <w:rPr>
          <w:rFonts w:cstheme="minorHAnsi"/>
        </w:rPr>
      </w:pPr>
      <w:r>
        <w:rPr>
          <w:noProof/>
        </w:rPr>
        <w:drawing>
          <wp:inline distT="0" distB="0" distL="0" distR="0" wp14:anchorId="5D8F57E5" wp14:editId="48962FF1">
            <wp:extent cx="4857750" cy="4905375"/>
            <wp:effectExtent l="0" t="0" r="0" b="0"/>
            <wp:docPr id="2" name="Picture 2"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able&#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l="5991" t="8765" r="12169" b="8691"/>
                    <a:stretch>
                      <a:fillRect/>
                    </a:stretch>
                  </pic:blipFill>
                  <pic:spPr bwMode="auto">
                    <a:xfrm>
                      <a:off x="0" y="0"/>
                      <a:ext cx="4857750" cy="4905375"/>
                    </a:xfrm>
                    <a:prstGeom prst="rect">
                      <a:avLst/>
                    </a:prstGeom>
                    <a:noFill/>
                    <a:ln>
                      <a:noFill/>
                    </a:ln>
                  </pic:spPr>
                </pic:pic>
              </a:graphicData>
            </a:graphic>
          </wp:inline>
        </w:drawing>
      </w:r>
    </w:p>
    <w:p w14:paraId="4BC54AC7" w14:textId="77777777" w:rsidR="000962D0" w:rsidRDefault="000962D0" w:rsidP="000962D0">
      <w:pPr>
        <w:rPr>
          <w:rFonts w:cstheme="minorHAnsi"/>
          <w:sz w:val="20"/>
          <w:szCs w:val="20"/>
        </w:rPr>
      </w:pPr>
      <w:r>
        <w:rPr>
          <w:rFonts w:cstheme="minorHAnsi"/>
          <w:b/>
          <w:bCs/>
          <w:sz w:val="20"/>
          <w:szCs w:val="20"/>
        </w:rPr>
        <w:t>Figure A3.</w:t>
      </w:r>
      <w:r>
        <w:rPr>
          <w:rFonts w:cstheme="minorHAnsi"/>
          <w:sz w:val="20"/>
          <w:szCs w:val="20"/>
        </w:rPr>
        <w:t xml:space="preserve"> Correlation heat map between the explanatory variables and predicted variables.</w:t>
      </w:r>
    </w:p>
    <w:p w14:paraId="6AD28E34" w14:textId="4343C136" w:rsidR="000962D0" w:rsidRDefault="000962D0" w:rsidP="000962D0">
      <w:pPr>
        <w:rPr>
          <w:rFonts w:cstheme="minorHAnsi"/>
        </w:rPr>
      </w:pPr>
      <w:r>
        <w:rPr>
          <w:rFonts w:cstheme="minorHAnsi"/>
          <w:noProof/>
        </w:rPr>
        <w:lastRenderedPageBreak/>
        <w:drawing>
          <wp:inline distT="0" distB="0" distL="0" distR="0" wp14:anchorId="5F2BE187" wp14:editId="7B95F778">
            <wp:extent cx="5943600" cy="5943600"/>
            <wp:effectExtent l="0" t="0" r="0" b="0"/>
            <wp:docPr id="1" name="Picture 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lenda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2AA65FE5" w14:textId="77777777" w:rsidR="000962D0" w:rsidRDefault="000962D0" w:rsidP="000962D0">
      <w:pPr>
        <w:rPr>
          <w:rFonts w:cstheme="minorHAnsi"/>
        </w:rPr>
      </w:pPr>
      <w:r>
        <w:rPr>
          <w:rFonts w:cstheme="minorHAnsi"/>
          <w:b/>
          <w:bCs/>
        </w:rPr>
        <w:t>Figure A4.</w:t>
      </w:r>
      <w:r>
        <w:rPr>
          <w:rFonts w:cstheme="minorHAnsi"/>
        </w:rPr>
        <w:t xml:space="preserve"> Scattered plots between pairs of explanatory variables selected in our analysis. </w:t>
      </w:r>
    </w:p>
    <w:p w14:paraId="59DEC14B"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92A12"/>
    <w:multiLevelType w:val="hybridMultilevel"/>
    <w:tmpl w:val="551A52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948437157">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2D0"/>
    <w:rsid w:val="000962D0"/>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E0CBC"/>
  <w15:chartTrackingRefBased/>
  <w15:docId w15:val="{9B1C85EF-16B4-4CAA-B11A-9E8C2E63E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2D0"/>
    <w:pPr>
      <w:spacing w:line="25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0962D0"/>
    <w:pPr>
      <w:spacing w:line="240" w:lineRule="auto"/>
    </w:pPr>
    <w:rPr>
      <w:sz w:val="20"/>
      <w:szCs w:val="20"/>
    </w:rPr>
  </w:style>
  <w:style w:type="character" w:customStyle="1" w:styleId="CommentTextChar">
    <w:name w:val="Comment Text Char"/>
    <w:basedOn w:val="DefaultParagraphFont"/>
    <w:link w:val="CommentText"/>
    <w:uiPriority w:val="99"/>
    <w:semiHidden/>
    <w:rsid w:val="000962D0"/>
    <w:rPr>
      <w:rFonts w:eastAsiaTheme="minorEastAsia"/>
      <w:sz w:val="20"/>
      <w:szCs w:val="20"/>
      <w:lang w:eastAsia="zh-CN"/>
    </w:rPr>
  </w:style>
  <w:style w:type="paragraph" w:styleId="ListParagraph">
    <w:name w:val="List Paragraph"/>
    <w:basedOn w:val="Normal"/>
    <w:uiPriority w:val="34"/>
    <w:qFormat/>
    <w:rsid w:val="000962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412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912</Words>
  <Characters>5205</Characters>
  <Application>Microsoft Office Word</Application>
  <DocSecurity>0</DocSecurity>
  <Lines>43</Lines>
  <Paragraphs>12</Paragraphs>
  <ScaleCrop>false</ScaleCrop>
  <Company/>
  <LinksUpToDate>false</LinksUpToDate>
  <CharactersWithSpaces>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2022-06-15T22:22:00Z</dcterms:created>
  <dcterms:modified xsi:type="dcterms:W3CDTF">2022-06-15T22:22:00Z</dcterms:modified>
</cp:coreProperties>
</file>