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64C70" w14:textId="77777777" w:rsidR="00012A5E" w:rsidRPr="007A7ABD" w:rsidRDefault="00012A5E" w:rsidP="00012A5E">
      <w:pPr>
        <w:spacing w:line="276" w:lineRule="auto"/>
        <w:jc w:val="center"/>
        <w:rPr>
          <w:rFonts w:ascii="Arial" w:hAnsi="Arial" w:cs="Arial"/>
          <w:b/>
          <w:bCs/>
          <w:sz w:val="24"/>
          <w:szCs w:val="24"/>
        </w:rPr>
      </w:pPr>
    </w:p>
    <w:p w14:paraId="44DF32B0" w14:textId="77777777" w:rsidR="00012A5E" w:rsidRPr="007A7ABD" w:rsidRDefault="00012A5E" w:rsidP="00012A5E">
      <w:pPr>
        <w:spacing w:line="276" w:lineRule="auto"/>
        <w:jc w:val="center"/>
        <w:rPr>
          <w:rFonts w:ascii="Arial" w:hAnsi="Arial" w:cs="Arial"/>
          <w:b/>
          <w:bCs/>
          <w:sz w:val="24"/>
          <w:szCs w:val="24"/>
        </w:rPr>
      </w:pPr>
    </w:p>
    <w:p w14:paraId="41A86726" w14:textId="77777777" w:rsidR="00012A5E" w:rsidRPr="007A7ABD" w:rsidRDefault="00012A5E" w:rsidP="00012A5E">
      <w:pPr>
        <w:spacing w:line="276" w:lineRule="auto"/>
        <w:jc w:val="center"/>
        <w:rPr>
          <w:rFonts w:ascii="Arial" w:hAnsi="Arial" w:cs="Arial"/>
          <w:b/>
          <w:bCs/>
          <w:sz w:val="24"/>
          <w:szCs w:val="24"/>
        </w:rPr>
      </w:pPr>
    </w:p>
    <w:p w14:paraId="7489F524" w14:textId="77777777" w:rsidR="00012A5E" w:rsidRPr="007A7ABD" w:rsidRDefault="00012A5E" w:rsidP="00012A5E">
      <w:pPr>
        <w:spacing w:line="276" w:lineRule="auto"/>
        <w:jc w:val="center"/>
        <w:rPr>
          <w:rFonts w:ascii="Arial" w:hAnsi="Arial" w:cs="Arial"/>
          <w:b/>
          <w:bCs/>
          <w:sz w:val="24"/>
          <w:szCs w:val="24"/>
        </w:rPr>
      </w:pPr>
    </w:p>
    <w:p w14:paraId="6B8E6C33" w14:textId="77777777" w:rsidR="00012A5E" w:rsidRPr="007A7ABD" w:rsidRDefault="00012A5E" w:rsidP="00012A5E">
      <w:pPr>
        <w:spacing w:line="276" w:lineRule="auto"/>
        <w:jc w:val="center"/>
        <w:rPr>
          <w:rFonts w:ascii="Arial" w:hAnsi="Arial" w:cs="Arial"/>
          <w:b/>
          <w:bCs/>
          <w:sz w:val="24"/>
          <w:szCs w:val="24"/>
        </w:rPr>
      </w:pPr>
    </w:p>
    <w:p w14:paraId="51D9BFC3" w14:textId="77777777" w:rsidR="00012A5E" w:rsidRPr="007A7ABD" w:rsidRDefault="00012A5E" w:rsidP="00012A5E">
      <w:pPr>
        <w:spacing w:line="276" w:lineRule="auto"/>
        <w:jc w:val="center"/>
        <w:rPr>
          <w:rFonts w:ascii="Arial" w:hAnsi="Arial" w:cs="Arial"/>
          <w:b/>
          <w:bCs/>
          <w:sz w:val="24"/>
          <w:szCs w:val="24"/>
        </w:rPr>
      </w:pPr>
    </w:p>
    <w:p w14:paraId="299E7096" w14:textId="77777777" w:rsidR="00012A5E" w:rsidRPr="007A7ABD" w:rsidRDefault="00012A5E" w:rsidP="00012A5E">
      <w:pPr>
        <w:spacing w:line="276" w:lineRule="auto"/>
        <w:jc w:val="center"/>
        <w:rPr>
          <w:rFonts w:ascii="Arial" w:hAnsi="Arial" w:cs="Arial"/>
          <w:b/>
          <w:bCs/>
          <w:sz w:val="24"/>
          <w:szCs w:val="24"/>
        </w:rPr>
      </w:pPr>
    </w:p>
    <w:p w14:paraId="3E51EEAD" w14:textId="77777777" w:rsidR="00012A5E" w:rsidRPr="007A7ABD" w:rsidRDefault="00012A5E" w:rsidP="00012A5E">
      <w:pPr>
        <w:spacing w:line="276" w:lineRule="auto"/>
        <w:jc w:val="center"/>
        <w:rPr>
          <w:rFonts w:ascii="Arial" w:hAnsi="Arial" w:cs="Arial"/>
          <w:b/>
          <w:bCs/>
          <w:sz w:val="24"/>
          <w:szCs w:val="24"/>
        </w:rPr>
      </w:pPr>
    </w:p>
    <w:p w14:paraId="683E47EC" w14:textId="77777777" w:rsidR="00012A5E" w:rsidRPr="007A7ABD" w:rsidRDefault="00012A5E" w:rsidP="00012A5E">
      <w:pPr>
        <w:spacing w:line="276" w:lineRule="auto"/>
        <w:jc w:val="center"/>
        <w:rPr>
          <w:rFonts w:ascii="Arial" w:hAnsi="Arial" w:cs="Arial"/>
          <w:b/>
          <w:bCs/>
          <w:sz w:val="24"/>
          <w:szCs w:val="24"/>
        </w:rPr>
      </w:pPr>
    </w:p>
    <w:p w14:paraId="67909B64" w14:textId="14CCB5CF" w:rsidR="00887E38" w:rsidRDefault="00DC1312" w:rsidP="00887E38">
      <w:pPr>
        <w:spacing w:line="276" w:lineRule="auto"/>
        <w:jc w:val="center"/>
        <w:rPr>
          <w:rFonts w:ascii="Arial" w:hAnsi="Arial" w:cs="Arial"/>
          <w:b/>
          <w:bCs/>
          <w:sz w:val="24"/>
          <w:szCs w:val="24"/>
        </w:rPr>
      </w:pPr>
      <w:r w:rsidRPr="00DC1312">
        <w:rPr>
          <w:rFonts w:ascii="Arial" w:hAnsi="Arial" w:cs="Arial"/>
          <w:b/>
          <w:bCs/>
          <w:sz w:val="24"/>
          <w:szCs w:val="24"/>
        </w:rPr>
        <w:t>MyProstateScore in Men Considering Repeat Biopsy: Validation of a Simple Testing Approach</w:t>
      </w:r>
    </w:p>
    <w:p w14:paraId="37DC371C" w14:textId="77777777" w:rsidR="00887E38" w:rsidRPr="007A7ABD" w:rsidRDefault="00887E38" w:rsidP="00887E38">
      <w:pPr>
        <w:spacing w:line="276" w:lineRule="auto"/>
        <w:jc w:val="center"/>
        <w:rPr>
          <w:rFonts w:ascii="Arial" w:hAnsi="Arial" w:cs="Arial"/>
          <w:b/>
          <w:bCs/>
          <w:sz w:val="24"/>
          <w:szCs w:val="24"/>
        </w:rPr>
      </w:pPr>
    </w:p>
    <w:p w14:paraId="2D5B6062" w14:textId="77777777" w:rsidR="00012A5E" w:rsidRPr="007A7ABD" w:rsidRDefault="00012A5E" w:rsidP="00012A5E">
      <w:pPr>
        <w:spacing w:line="276" w:lineRule="auto"/>
        <w:jc w:val="center"/>
        <w:rPr>
          <w:rFonts w:ascii="Arial" w:hAnsi="Arial" w:cs="Arial"/>
          <w:b/>
          <w:bCs/>
          <w:sz w:val="24"/>
          <w:szCs w:val="24"/>
        </w:rPr>
      </w:pPr>
      <w:r w:rsidRPr="007A7ABD">
        <w:rPr>
          <w:rFonts w:ascii="Arial" w:hAnsi="Arial" w:cs="Arial"/>
          <w:b/>
          <w:bCs/>
          <w:sz w:val="24"/>
          <w:szCs w:val="24"/>
        </w:rPr>
        <w:t>SUPPLEMENT</w:t>
      </w:r>
    </w:p>
    <w:p w14:paraId="59F735A1" w14:textId="77777777" w:rsidR="00012A5E" w:rsidRPr="007A7ABD" w:rsidRDefault="00012A5E" w:rsidP="00DC1312">
      <w:pPr>
        <w:spacing w:line="276" w:lineRule="auto"/>
        <w:rPr>
          <w:rFonts w:ascii="Arial" w:hAnsi="Arial" w:cs="Arial"/>
          <w:b/>
          <w:bCs/>
          <w:sz w:val="24"/>
          <w:szCs w:val="24"/>
        </w:rPr>
      </w:pPr>
    </w:p>
    <w:p w14:paraId="6DB44302" w14:textId="77777777" w:rsidR="00012A5E" w:rsidRPr="007A7ABD" w:rsidRDefault="00012A5E" w:rsidP="00012A5E">
      <w:pPr>
        <w:spacing w:line="276" w:lineRule="auto"/>
        <w:rPr>
          <w:rFonts w:ascii="Arial" w:hAnsi="Arial" w:cs="Arial"/>
          <w:b/>
          <w:bCs/>
          <w:sz w:val="24"/>
          <w:szCs w:val="24"/>
        </w:rPr>
      </w:pPr>
    </w:p>
    <w:p w14:paraId="377B86EF" w14:textId="28FCEC9C" w:rsidR="00012A5E" w:rsidRPr="007A7ABD" w:rsidRDefault="00012A5E" w:rsidP="00012A5E">
      <w:pPr>
        <w:spacing w:line="276" w:lineRule="auto"/>
        <w:jc w:val="center"/>
        <w:rPr>
          <w:rFonts w:ascii="Arial" w:hAnsi="Arial" w:cs="Arial"/>
          <w:sz w:val="24"/>
          <w:szCs w:val="24"/>
        </w:rPr>
      </w:pPr>
      <w:proofErr w:type="spellStart"/>
      <w:r w:rsidRPr="007A7ABD">
        <w:rPr>
          <w:rFonts w:ascii="Arial" w:hAnsi="Arial" w:cs="Arial"/>
          <w:sz w:val="24"/>
          <w:szCs w:val="24"/>
        </w:rPr>
        <w:t>Tosoian</w:t>
      </w:r>
      <w:proofErr w:type="spellEnd"/>
      <w:r w:rsidRPr="007A7ABD">
        <w:rPr>
          <w:rFonts w:ascii="Arial" w:hAnsi="Arial" w:cs="Arial"/>
          <w:sz w:val="24"/>
          <w:szCs w:val="24"/>
        </w:rPr>
        <w:t>, Sessine,</w:t>
      </w:r>
      <w:r w:rsidR="00994C20" w:rsidRPr="007A7ABD">
        <w:rPr>
          <w:rFonts w:ascii="Arial" w:hAnsi="Arial" w:cs="Arial"/>
          <w:sz w:val="24"/>
          <w:szCs w:val="24"/>
        </w:rPr>
        <w:t xml:space="preserve"> </w:t>
      </w:r>
      <w:proofErr w:type="spellStart"/>
      <w:r w:rsidR="00C0092C" w:rsidRPr="007A7ABD">
        <w:rPr>
          <w:rFonts w:ascii="Arial" w:hAnsi="Arial" w:cs="Arial"/>
          <w:sz w:val="24"/>
          <w:szCs w:val="24"/>
        </w:rPr>
        <w:t>Trock</w:t>
      </w:r>
      <w:proofErr w:type="spellEnd"/>
      <w:r w:rsidR="00C0092C" w:rsidRPr="007A7ABD">
        <w:rPr>
          <w:rFonts w:ascii="Arial" w:hAnsi="Arial" w:cs="Arial"/>
          <w:sz w:val="24"/>
          <w:szCs w:val="24"/>
        </w:rPr>
        <w:t xml:space="preserve">, </w:t>
      </w:r>
      <w:r w:rsidRPr="007A7ABD">
        <w:rPr>
          <w:rFonts w:ascii="Arial" w:hAnsi="Arial" w:cs="Arial"/>
          <w:sz w:val="24"/>
          <w:szCs w:val="24"/>
        </w:rPr>
        <w:t>et al.</w:t>
      </w:r>
    </w:p>
    <w:p w14:paraId="4C7620C7" w14:textId="0709FCED" w:rsidR="00012A5E" w:rsidRPr="007A7ABD" w:rsidRDefault="00012A5E" w:rsidP="001E034E">
      <w:pPr>
        <w:rPr>
          <w:rFonts w:ascii="Arial" w:hAnsi="Arial" w:cs="Arial"/>
          <w:b/>
          <w:bCs/>
          <w:sz w:val="24"/>
          <w:szCs w:val="24"/>
        </w:rPr>
      </w:pPr>
      <w:r w:rsidRPr="007A7ABD">
        <w:rPr>
          <w:rFonts w:ascii="Arial" w:hAnsi="Arial" w:cs="Arial"/>
          <w:b/>
          <w:bCs/>
          <w:sz w:val="24"/>
          <w:szCs w:val="24"/>
        </w:rPr>
        <w:br w:type="page"/>
      </w:r>
    </w:p>
    <w:p w14:paraId="6B76DD77" w14:textId="43410EDD" w:rsidR="006A4C01" w:rsidRPr="007A7ABD" w:rsidRDefault="00AE0290" w:rsidP="00012A5E">
      <w:pPr>
        <w:spacing w:line="480" w:lineRule="auto"/>
        <w:rPr>
          <w:rFonts w:ascii="Arial" w:hAnsi="Arial" w:cs="Arial"/>
          <w:b/>
          <w:sz w:val="24"/>
          <w:szCs w:val="24"/>
        </w:rPr>
      </w:pPr>
      <w:r w:rsidRPr="007A7ABD">
        <w:rPr>
          <w:rFonts w:ascii="Arial" w:hAnsi="Arial" w:cs="Arial"/>
          <w:b/>
          <w:sz w:val="24"/>
          <w:szCs w:val="24"/>
        </w:rPr>
        <w:lastRenderedPageBreak/>
        <w:t>MyProstateScore (</w:t>
      </w:r>
      <w:r w:rsidR="00012A5E" w:rsidRPr="007A7ABD">
        <w:rPr>
          <w:rFonts w:ascii="Arial" w:hAnsi="Arial" w:cs="Arial"/>
          <w:b/>
          <w:sz w:val="24"/>
          <w:szCs w:val="24"/>
        </w:rPr>
        <w:t>MPS</w:t>
      </w:r>
      <w:r w:rsidRPr="007A7ABD">
        <w:rPr>
          <w:rFonts w:ascii="Arial" w:hAnsi="Arial" w:cs="Arial"/>
          <w:b/>
          <w:sz w:val="24"/>
          <w:szCs w:val="24"/>
        </w:rPr>
        <w:t>) T</w:t>
      </w:r>
      <w:r w:rsidR="00012A5E" w:rsidRPr="007A7ABD">
        <w:rPr>
          <w:rFonts w:ascii="Arial" w:hAnsi="Arial" w:cs="Arial"/>
          <w:b/>
          <w:sz w:val="24"/>
          <w:szCs w:val="24"/>
        </w:rPr>
        <w:t>esting</w:t>
      </w:r>
    </w:p>
    <w:p w14:paraId="08A80F93" w14:textId="05C0E7FC" w:rsidR="007E150E" w:rsidRPr="007A7ABD" w:rsidRDefault="007E150E" w:rsidP="00012A5E">
      <w:pPr>
        <w:spacing w:line="480" w:lineRule="auto"/>
        <w:rPr>
          <w:rFonts w:ascii="Arial" w:hAnsi="Arial" w:cs="Arial"/>
          <w:sz w:val="24"/>
          <w:szCs w:val="24"/>
        </w:rPr>
      </w:pPr>
      <w:r w:rsidRPr="007A7ABD">
        <w:rPr>
          <w:rFonts w:ascii="Arial" w:hAnsi="Arial" w:cs="Arial"/>
          <w:sz w:val="24"/>
          <w:szCs w:val="24"/>
        </w:rPr>
        <w:t xml:space="preserve">Urinary </w:t>
      </w:r>
      <w:r w:rsidRPr="007A7ABD">
        <w:rPr>
          <w:rFonts w:ascii="Arial" w:hAnsi="Arial" w:cs="Arial"/>
          <w:i/>
          <w:sz w:val="24"/>
          <w:szCs w:val="24"/>
        </w:rPr>
        <w:t>T2:ERG, PCA3,</w:t>
      </w:r>
      <w:r w:rsidRPr="007A7ABD">
        <w:rPr>
          <w:rFonts w:ascii="Arial" w:hAnsi="Arial" w:cs="Arial"/>
          <w:sz w:val="24"/>
          <w:szCs w:val="24"/>
        </w:rPr>
        <w:t xml:space="preserve"> and </w:t>
      </w:r>
      <w:r w:rsidRPr="007A7ABD">
        <w:rPr>
          <w:rFonts w:ascii="Arial" w:hAnsi="Arial" w:cs="Arial"/>
          <w:i/>
          <w:sz w:val="24"/>
          <w:szCs w:val="24"/>
        </w:rPr>
        <w:t>PSA</w:t>
      </w:r>
      <w:r w:rsidRPr="007A7ABD">
        <w:rPr>
          <w:rFonts w:ascii="Arial" w:hAnsi="Arial" w:cs="Arial"/>
          <w:sz w:val="24"/>
          <w:szCs w:val="24"/>
        </w:rPr>
        <w:t xml:space="preserve"> mRNA were quantified by transcription-mediated amplification (TMA)</w:t>
      </w:r>
      <w:r w:rsidR="00654126" w:rsidRPr="007A7ABD">
        <w:rPr>
          <w:rFonts w:ascii="Arial" w:hAnsi="Arial" w:cs="Arial"/>
          <w:sz w:val="24"/>
          <w:szCs w:val="24"/>
        </w:rPr>
        <w:t xml:space="preserve"> assays at the </w:t>
      </w:r>
      <w:r w:rsidR="00654126" w:rsidRPr="007A7ABD">
        <w:rPr>
          <w:rFonts w:ascii="Arial" w:hAnsi="Arial" w:cs="Arial"/>
          <w:bCs/>
          <w:sz w:val="24"/>
          <w:szCs w:val="24"/>
        </w:rPr>
        <w:t xml:space="preserve">University of Michigan, Gen-Probe, Inc., and the </w:t>
      </w:r>
      <w:r w:rsidR="00654126" w:rsidRPr="007A7ABD">
        <w:rPr>
          <w:rFonts w:ascii="Calibri" w:hAnsi="Calibri" w:cs="Calibri"/>
          <w:bCs/>
          <w:sz w:val="24"/>
          <w:szCs w:val="24"/>
        </w:rPr>
        <w:t>﻿</w:t>
      </w:r>
      <w:r w:rsidR="00654126" w:rsidRPr="007A7ABD">
        <w:rPr>
          <w:rFonts w:ascii="Arial" w:hAnsi="Arial" w:cs="Arial"/>
          <w:bCs/>
          <w:sz w:val="24"/>
          <w:szCs w:val="24"/>
        </w:rPr>
        <w:t xml:space="preserve">EDRN Biomarker Reference Laboratory at Johns Hopkins. </w:t>
      </w:r>
      <w:r w:rsidRPr="007A7ABD">
        <w:rPr>
          <w:rFonts w:ascii="Arial" w:hAnsi="Arial" w:cs="Arial"/>
          <w:bCs/>
          <w:sz w:val="24"/>
          <w:szCs w:val="24"/>
        </w:rPr>
        <w:t>As previously described</w:t>
      </w:r>
      <w:r w:rsidR="00D060D5">
        <w:rPr>
          <w:rFonts w:ascii="Arial" w:hAnsi="Arial" w:cs="Arial"/>
          <w:bCs/>
          <w:sz w:val="24"/>
          <w:szCs w:val="24"/>
        </w:rPr>
        <w:t xml:space="preserve"> </w:t>
      </w:r>
      <w:r w:rsidR="00840C68" w:rsidRPr="007A7ABD">
        <w:rPr>
          <w:rFonts w:ascii="Arial" w:hAnsi="Arial" w:cs="Arial"/>
          <w:bCs/>
          <w:sz w:val="24"/>
          <w:szCs w:val="24"/>
        </w:rPr>
        <w:fldChar w:fldCharType="begin" w:fldLock="1"/>
      </w:r>
      <w:r w:rsidR="008E1A80">
        <w:rPr>
          <w:rFonts w:ascii="Arial" w:hAnsi="Arial" w:cs="Arial"/>
          <w:bCs/>
          <w:sz w:val="24"/>
          <w:szCs w:val="24"/>
        </w:rPr>
        <w:instrText>ADDIN CSL_CITATION {"citationItems":[{"id":"ITEM-1","itemData":{"DOI":"10.1016/j.eururo.2015.04.039","ISSN":"1873-7560 (Electronic)","PMID":"25985884","abstract":"BACKGROUND: TMPRSS2:ERG (T2:ERG) and prostate cancer antigen 3 (PCA3) are the most  advanced urine-based prostate cancer (PCa) early detection biomarkers. OBJECTIVE: Validate logistic regression models, termed Mi-Prostate Score (MiPS), that incorporate serum prostate-specific antigen (PSA; or the multivariate Prostate Cancer Prevention Trial risk calculator version 1.0 [PCPTrc]) and urine T2:ERG and PCA3 scores for predicting PCa and high-grade PCa on biopsy. DESIGN, SETTING, AND PARTICIPANTS: T2:ERG and PCA3 scores were generated using clinical-grade transcription-mediated amplification assays. Pretrained MiPS models were applied to a validation cohort of whole urine samples prospectively collected after digital rectal examination from 1244 men presenting for biopsy. OUTCOME MEASUREMENTS AND STATISTICAL ANALYSIS: Area under the curve (AUC) was used to compare the performance of serum PSA (or the PCPTrc) alone and MiPS models. Decision curve analysis (DCA) was used to assess clinical benefit. RESULTS AND LIMITATIONS: Among informative validation cohort samples (n=1225 [98%], 80% from patients presenting for initial biopsy), models incorporating T2:ERG had significantly greater AUC than PSA (or PCPTrc) for predicting PCa (PSA: 0.693 vs 0.585; PCPTrc: 0.718 vs 0.639; both p&lt;0.001) or high-grade (Gleason score &gt;6) PCa on biopsy (PSA: 0.729 vs 0.651, p&lt;0.001; PCPTrc: 0.754 vs 0.707, p=0.006). MiPS models incorporating T2:ERG score had significantly greater AUC (all p&lt;0.001) than models incorporating only PCA3 plus PSA (or PCPTrc or high-grade cancer PCPTrc [PCPThg]). DCA demonstrated net benefit of the MiPS_PCPTrc (or MiPS_PCPThg) model compared with the PCPTrc (or PCPThg) across relevant threshold probabilities. CONCLUSIONS: Incorporating urine T2:ERG and PCA3 scores improves the performance of serum PSA (or PCPTrc) for predicting PCa and high-grade PCa on biopsy. PATIENT SUMMARY: Incorporation of two prostate cancer (PCa)-specific biomarkers (TMPRSS2:ERG and PCA3) measured in the urine improved on serum prostate-specific antigen (or a multivariate risk calculator) for predicting the presence of PCa and high-grade PCa on biopsy. A combined test, Mi-Prostate Score, uses models validated in this study and is clinically available to provide individualized risk estimates.","author":[{"dropping-particle":"","family":"Tomlins","given":"Scott A","non-dropping-particle":"","parse-names":false,"suffix":""},{"dropping-particle":"","family":"Day","given":"John R","non-dropping-particle":"","parse-names":false,"suffix":""},{"dropping-particle":"","family":"Lonigro","given":"Robert J","non-dropping-particle":"","parse-names":false,"suffix":""},{"dropping-particle":"","family":"Hovelson","given":"Daniel H","non-dropping-particle":"","parse-names":false,"suffix":""},{"dropping-particle":"","family":"Siddiqui","given":"Javed","non-dropping-particle":"","parse-names":false,"suffix":""},{"dropping-particle":"","family":"Kunju","given":"L Priya","non-dropping-particle":"","parse-names":false,"suffix":""},{"dropping-particle":"","family":"Dunn","given":"Rodney L","non-dropping-particle":"","parse-names":false,"suffix":""},{"dropping-particle":"","family":"Meyer","given":"Sarah","non-dropping-particle":"","parse-names":false,"suffix":""},{"dropping-particle":"","family":"Hodge","given":"Petrea","non-dropping-particle":"","parse-names":false,"suffix":""},{"dropping-particle":"","family":"Groskopf","given":"Jack","non-dropping-particle":"","parse-names":false,"suffix":""},{"dropping-particle":"","family":"Wei","given":"John T","non-dropping-particle":"","parse-names":false,"suffix":""},{"dropping-particle":"","family":"Chinnaiyan","given":"Arul M","non-dropping-particle":"","parse-names":false,"suffix":""}],"container-title":"European urology","id":"ITEM-1","issue":"1","issued":{"date-parts":[["2016","7"]]},"language":"eng","page":"45-53","title":"Urine TMPRSS2:ERG Plus PCA3 for Individualized Prostate Cancer Risk Assessment.","type":"article-journal","volume":"70"},"uris":["http://www.mendeley.com/documents/?uuid=0804ccab-a90b-4249-8a12-a29f206cbe19"]}],"mendeley":{"formattedCitation":"[1]","plainTextFormattedCitation":"[1]","previouslyFormattedCitation":"[1]"},"properties":{"noteIndex":0},"schema":"https://github.com/citation-style-language/schema/raw/master/csl-citation.json"}</w:instrText>
      </w:r>
      <w:r w:rsidR="00840C68" w:rsidRPr="007A7ABD">
        <w:rPr>
          <w:rFonts w:ascii="Arial" w:hAnsi="Arial" w:cs="Arial"/>
          <w:bCs/>
          <w:sz w:val="24"/>
          <w:szCs w:val="24"/>
        </w:rPr>
        <w:fldChar w:fldCharType="separate"/>
      </w:r>
      <w:r w:rsidR="00D060D5" w:rsidRPr="00D060D5">
        <w:rPr>
          <w:rFonts w:ascii="Arial" w:hAnsi="Arial" w:cs="Arial"/>
          <w:bCs/>
          <w:noProof/>
          <w:sz w:val="24"/>
          <w:szCs w:val="24"/>
        </w:rPr>
        <w:t>[1]</w:t>
      </w:r>
      <w:r w:rsidR="00840C68" w:rsidRPr="007A7ABD">
        <w:rPr>
          <w:rFonts w:ascii="Arial" w:hAnsi="Arial" w:cs="Arial"/>
          <w:bCs/>
          <w:sz w:val="24"/>
          <w:szCs w:val="24"/>
        </w:rPr>
        <w:fldChar w:fldCharType="end"/>
      </w:r>
      <w:r w:rsidR="00D060D5">
        <w:rPr>
          <w:rFonts w:ascii="Arial" w:hAnsi="Arial" w:cs="Arial"/>
          <w:bCs/>
          <w:sz w:val="24"/>
          <w:szCs w:val="24"/>
        </w:rPr>
        <w:t>,</w:t>
      </w:r>
      <w:r w:rsidR="00840C68" w:rsidRPr="007A7ABD">
        <w:rPr>
          <w:rFonts w:ascii="Arial" w:hAnsi="Arial" w:cs="Arial"/>
          <w:bCs/>
          <w:sz w:val="24"/>
          <w:szCs w:val="24"/>
        </w:rPr>
        <w:t xml:space="preserve"> </w:t>
      </w:r>
      <w:r w:rsidRPr="007A7ABD">
        <w:rPr>
          <w:rFonts w:ascii="Arial" w:hAnsi="Arial" w:cs="Arial"/>
          <w:bCs/>
          <w:sz w:val="24"/>
          <w:szCs w:val="24"/>
        </w:rPr>
        <w:t xml:space="preserve">T2:ERG scores </w:t>
      </w:r>
      <w:r w:rsidR="003B55F3" w:rsidRPr="007A7ABD">
        <w:rPr>
          <w:rFonts w:ascii="Arial" w:hAnsi="Arial" w:cs="Arial"/>
          <w:bCs/>
          <w:sz w:val="24"/>
          <w:szCs w:val="24"/>
        </w:rPr>
        <w:t>were</w:t>
      </w:r>
      <w:r w:rsidRPr="007A7ABD">
        <w:rPr>
          <w:rFonts w:ascii="Arial" w:hAnsi="Arial" w:cs="Arial"/>
          <w:bCs/>
          <w:sz w:val="24"/>
          <w:szCs w:val="24"/>
        </w:rPr>
        <w:t xml:space="preserve"> </w:t>
      </w:r>
      <w:r w:rsidR="00654126" w:rsidRPr="007A7ABD">
        <w:rPr>
          <w:rFonts w:ascii="Arial" w:hAnsi="Arial" w:cs="Arial"/>
          <w:bCs/>
          <w:sz w:val="24"/>
          <w:szCs w:val="24"/>
        </w:rPr>
        <w:t>determined</w:t>
      </w:r>
      <w:r w:rsidRPr="007A7ABD">
        <w:rPr>
          <w:rFonts w:ascii="Arial" w:hAnsi="Arial" w:cs="Arial"/>
          <w:bCs/>
          <w:sz w:val="24"/>
          <w:szCs w:val="24"/>
        </w:rPr>
        <w:t xml:space="preserve"> by normalization of </w:t>
      </w:r>
      <w:r w:rsidRPr="007A7ABD">
        <w:rPr>
          <w:rFonts w:ascii="Arial" w:hAnsi="Arial" w:cs="Arial"/>
          <w:bCs/>
          <w:i/>
          <w:sz w:val="24"/>
          <w:szCs w:val="24"/>
        </w:rPr>
        <w:t>T2:ERG</w:t>
      </w:r>
      <w:r w:rsidRPr="007A7ABD">
        <w:rPr>
          <w:rFonts w:ascii="Arial" w:hAnsi="Arial" w:cs="Arial"/>
          <w:bCs/>
          <w:sz w:val="24"/>
          <w:szCs w:val="24"/>
        </w:rPr>
        <w:t xml:space="preserve"> mRNA expression to </w:t>
      </w:r>
      <w:r w:rsidRPr="007A7ABD">
        <w:rPr>
          <w:rFonts w:ascii="Arial" w:hAnsi="Arial" w:cs="Arial"/>
          <w:bCs/>
          <w:i/>
          <w:sz w:val="24"/>
          <w:szCs w:val="24"/>
        </w:rPr>
        <w:t>PSA</w:t>
      </w:r>
      <w:r w:rsidRPr="007A7ABD">
        <w:rPr>
          <w:rFonts w:ascii="Arial" w:hAnsi="Arial" w:cs="Arial"/>
          <w:bCs/>
          <w:sz w:val="24"/>
          <w:szCs w:val="24"/>
        </w:rPr>
        <w:t xml:space="preserve"> mRNA expression using the following formula: (100</w:t>
      </w:r>
      <w:r w:rsidR="0028325B" w:rsidRPr="007A7ABD">
        <w:rPr>
          <w:rFonts w:ascii="Arial" w:hAnsi="Arial" w:cs="Arial"/>
          <w:bCs/>
          <w:sz w:val="24"/>
          <w:szCs w:val="24"/>
        </w:rPr>
        <w:t xml:space="preserve"> </w:t>
      </w:r>
      <w:r w:rsidRPr="007A7ABD">
        <w:rPr>
          <w:rFonts w:ascii="Arial" w:hAnsi="Arial" w:cs="Arial"/>
          <w:bCs/>
          <w:sz w:val="24"/>
          <w:szCs w:val="24"/>
        </w:rPr>
        <w:t xml:space="preserve">000 × average urine </w:t>
      </w:r>
      <w:r w:rsidRPr="007A7ABD">
        <w:rPr>
          <w:rFonts w:ascii="Arial" w:hAnsi="Arial" w:cs="Arial"/>
          <w:bCs/>
          <w:i/>
          <w:sz w:val="24"/>
          <w:szCs w:val="24"/>
        </w:rPr>
        <w:t>TMPRSS2:ERG</w:t>
      </w:r>
      <w:r w:rsidRPr="007A7ABD">
        <w:rPr>
          <w:rFonts w:ascii="Arial" w:hAnsi="Arial" w:cs="Arial"/>
          <w:bCs/>
          <w:sz w:val="24"/>
          <w:szCs w:val="24"/>
        </w:rPr>
        <w:t xml:space="preserve"> copies/mL) / (average urine </w:t>
      </w:r>
      <w:r w:rsidRPr="007A7ABD">
        <w:rPr>
          <w:rFonts w:ascii="Arial" w:hAnsi="Arial" w:cs="Arial"/>
          <w:bCs/>
          <w:i/>
          <w:sz w:val="24"/>
          <w:szCs w:val="24"/>
        </w:rPr>
        <w:t>PSA</w:t>
      </w:r>
      <w:r w:rsidRPr="007A7ABD">
        <w:rPr>
          <w:rFonts w:ascii="Arial" w:hAnsi="Arial" w:cs="Arial"/>
          <w:bCs/>
          <w:sz w:val="24"/>
          <w:szCs w:val="24"/>
        </w:rPr>
        <w:t xml:space="preserve"> copies/mL).</w:t>
      </w:r>
      <w:r w:rsidR="00654126" w:rsidRPr="007A7ABD">
        <w:rPr>
          <w:rFonts w:ascii="Arial" w:hAnsi="Arial" w:cs="Arial"/>
          <w:bCs/>
          <w:sz w:val="24"/>
          <w:szCs w:val="24"/>
        </w:rPr>
        <w:t xml:space="preserve"> Samples with mean urinary </w:t>
      </w:r>
      <w:r w:rsidR="00654126" w:rsidRPr="007A7ABD">
        <w:rPr>
          <w:rFonts w:ascii="Arial" w:hAnsi="Arial" w:cs="Arial"/>
          <w:bCs/>
          <w:i/>
          <w:sz w:val="24"/>
          <w:szCs w:val="24"/>
        </w:rPr>
        <w:t>PSA</w:t>
      </w:r>
      <w:r w:rsidR="00654126" w:rsidRPr="007A7ABD">
        <w:rPr>
          <w:rFonts w:ascii="Arial" w:hAnsi="Arial" w:cs="Arial"/>
          <w:bCs/>
          <w:sz w:val="24"/>
          <w:szCs w:val="24"/>
        </w:rPr>
        <w:t xml:space="preserve"> &gt;10</w:t>
      </w:r>
      <w:r w:rsidR="0028325B" w:rsidRPr="007A7ABD">
        <w:rPr>
          <w:rFonts w:ascii="Arial" w:hAnsi="Arial" w:cs="Arial"/>
          <w:bCs/>
          <w:sz w:val="24"/>
          <w:szCs w:val="24"/>
        </w:rPr>
        <w:t xml:space="preserve"> </w:t>
      </w:r>
      <w:r w:rsidR="00654126" w:rsidRPr="007A7ABD">
        <w:rPr>
          <w:rFonts w:ascii="Arial" w:hAnsi="Arial" w:cs="Arial"/>
          <w:bCs/>
          <w:sz w:val="24"/>
          <w:szCs w:val="24"/>
        </w:rPr>
        <w:t xml:space="preserve">000 copies/mL were considered informative. Similarly, the </w:t>
      </w:r>
      <w:proofErr w:type="spellStart"/>
      <w:r w:rsidR="00654126" w:rsidRPr="007A7ABD">
        <w:rPr>
          <w:rFonts w:ascii="Arial" w:hAnsi="Arial" w:cs="Arial"/>
          <w:bCs/>
          <w:sz w:val="24"/>
          <w:szCs w:val="24"/>
        </w:rPr>
        <w:t>Progensa</w:t>
      </w:r>
      <w:proofErr w:type="spellEnd"/>
      <w:r w:rsidR="00654126" w:rsidRPr="007A7ABD">
        <w:rPr>
          <w:rFonts w:ascii="Arial" w:hAnsi="Arial" w:cs="Arial"/>
          <w:bCs/>
          <w:sz w:val="24"/>
          <w:szCs w:val="24"/>
        </w:rPr>
        <w:t xml:space="preserve"> PCA3 assay was used to quantify </w:t>
      </w:r>
      <w:r w:rsidR="00654126" w:rsidRPr="007A7ABD">
        <w:rPr>
          <w:rFonts w:ascii="Arial" w:hAnsi="Arial" w:cs="Arial"/>
          <w:bCs/>
          <w:i/>
          <w:sz w:val="24"/>
          <w:szCs w:val="24"/>
        </w:rPr>
        <w:t>PCA3</w:t>
      </w:r>
      <w:r w:rsidR="00654126" w:rsidRPr="007A7ABD">
        <w:rPr>
          <w:rFonts w:ascii="Arial" w:hAnsi="Arial" w:cs="Arial"/>
          <w:bCs/>
          <w:sz w:val="24"/>
          <w:szCs w:val="24"/>
        </w:rPr>
        <w:t xml:space="preserve"> and </w:t>
      </w:r>
      <w:r w:rsidR="00654126" w:rsidRPr="007A7ABD">
        <w:rPr>
          <w:rFonts w:ascii="Arial" w:hAnsi="Arial" w:cs="Arial"/>
          <w:bCs/>
          <w:i/>
          <w:sz w:val="24"/>
          <w:szCs w:val="24"/>
        </w:rPr>
        <w:t>PSA</w:t>
      </w:r>
      <w:r w:rsidR="00654126" w:rsidRPr="007A7ABD">
        <w:rPr>
          <w:rFonts w:ascii="Arial" w:hAnsi="Arial" w:cs="Arial"/>
          <w:bCs/>
          <w:sz w:val="24"/>
          <w:szCs w:val="24"/>
        </w:rPr>
        <w:t xml:space="preserve"> mRNA expression. PCA3 score is calculated as 1</w:t>
      </w:r>
      <w:r w:rsidR="0028325B" w:rsidRPr="007A7ABD">
        <w:rPr>
          <w:rFonts w:ascii="Arial" w:hAnsi="Arial" w:cs="Arial"/>
          <w:bCs/>
          <w:sz w:val="24"/>
          <w:szCs w:val="24"/>
        </w:rPr>
        <w:t xml:space="preserve"> </w:t>
      </w:r>
      <w:r w:rsidR="00654126" w:rsidRPr="007A7ABD">
        <w:rPr>
          <w:rFonts w:ascii="Arial" w:hAnsi="Arial" w:cs="Arial"/>
          <w:bCs/>
          <w:sz w:val="24"/>
          <w:szCs w:val="24"/>
        </w:rPr>
        <w:t xml:space="preserve">000 × (average urine </w:t>
      </w:r>
      <w:r w:rsidR="00654126" w:rsidRPr="007A7ABD">
        <w:rPr>
          <w:rFonts w:ascii="Arial" w:hAnsi="Arial" w:cs="Arial"/>
          <w:bCs/>
          <w:i/>
          <w:sz w:val="24"/>
          <w:szCs w:val="24"/>
        </w:rPr>
        <w:t>PCA3</w:t>
      </w:r>
      <w:r w:rsidR="00654126" w:rsidRPr="007A7ABD">
        <w:rPr>
          <w:rFonts w:ascii="Arial" w:hAnsi="Arial" w:cs="Arial"/>
          <w:bCs/>
          <w:sz w:val="24"/>
          <w:szCs w:val="24"/>
        </w:rPr>
        <w:t xml:space="preserve"> copies/mL)/ (average urine </w:t>
      </w:r>
      <w:r w:rsidR="00654126" w:rsidRPr="007A7ABD">
        <w:rPr>
          <w:rFonts w:ascii="Arial" w:hAnsi="Arial" w:cs="Arial"/>
          <w:bCs/>
          <w:i/>
          <w:sz w:val="24"/>
          <w:szCs w:val="24"/>
        </w:rPr>
        <w:t>PSA</w:t>
      </w:r>
      <w:r w:rsidR="00654126" w:rsidRPr="007A7ABD">
        <w:rPr>
          <w:rFonts w:ascii="Arial" w:hAnsi="Arial" w:cs="Arial"/>
          <w:bCs/>
          <w:sz w:val="24"/>
          <w:szCs w:val="24"/>
        </w:rPr>
        <w:t xml:space="preserve"> copies/mL). Samples with mean urine </w:t>
      </w:r>
      <w:r w:rsidR="00654126" w:rsidRPr="007A7ABD">
        <w:rPr>
          <w:rFonts w:ascii="Arial" w:hAnsi="Arial" w:cs="Arial"/>
          <w:bCs/>
          <w:i/>
          <w:sz w:val="24"/>
          <w:szCs w:val="24"/>
        </w:rPr>
        <w:t>PSA</w:t>
      </w:r>
      <w:r w:rsidR="00654126" w:rsidRPr="007A7ABD">
        <w:rPr>
          <w:rFonts w:ascii="Arial" w:hAnsi="Arial" w:cs="Arial"/>
          <w:bCs/>
          <w:sz w:val="24"/>
          <w:szCs w:val="24"/>
        </w:rPr>
        <w:t xml:space="preserve"> &gt;7</w:t>
      </w:r>
      <w:r w:rsidR="0028325B" w:rsidRPr="007A7ABD">
        <w:rPr>
          <w:rFonts w:ascii="Arial" w:hAnsi="Arial" w:cs="Arial"/>
          <w:bCs/>
          <w:sz w:val="24"/>
          <w:szCs w:val="24"/>
        </w:rPr>
        <w:t xml:space="preserve"> </w:t>
      </w:r>
      <w:r w:rsidR="00654126" w:rsidRPr="007A7ABD">
        <w:rPr>
          <w:rFonts w:ascii="Arial" w:hAnsi="Arial" w:cs="Arial"/>
          <w:bCs/>
          <w:sz w:val="24"/>
          <w:szCs w:val="24"/>
        </w:rPr>
        <w:t>000 copies/mL were considered informative. All laboratories were blinded to prostate biopsy results.</w:t>
      </w:r>
      <w:r w:rsidR="00101F61" w:rsidRPr="007A7ABD">
        <w:rPr>
          <w:rFonts w:ascii="Arial" w:hAnsi="Arial" w:cs="Arial"/>
          <w:bCs/>
          <w:sz w:val="24"/>
          <w:szCs w:val="24"/>
        </w:rPr>
        <w:t xml:space="preserve"> MPS values were calculated based on the previously published, locked model including T2:ERG score, PCA3 score, and serum PSA:</w:t>
      </w:r>
    </w:p>
    <w:p w14:paraId="70893F1D" w14:textId="77777777" w:rsidR="00101F61" w:rsidRPr="007A7ABD" w:rsidRDefault="00101F61" w:rsidP="00101F61">
      <w:pPr>
        <w:spacing w:line="480" w:lineRule="auto"/>
        <w:rPr>
          <w:rFonts w:ascii="Arial" w:hAnsi="Arial" w:cs="Arial"/>
          <w:bCs/>
          <w:i/>
          <w:iCs/>
          <w:sz w:val="24"/>
          <w:szCs w:val="24"/>
        </w:rPr>
      </w:pPr>
      <w:r w:rsidRPr="007A7ABD">
        <w:rPr>
          <w:rFonts w:ascii="Arial" w:hAnsi="Arial" w:cs="Arial"/>
          <w:bCs/>
          <w:i/>
          <w:iCs/>
          <w:sz w:val="24"/>
          <w:szCs w:val="24"/>
        </w:rPr>
        <w:t>logit(p)=-5.8588+0.59038*LOG(1+PSA,2)+0.55316*LOG(1+PCA3,2)+0.14371*LOG(1+T2:ERG,2)</w:t>
      </w:r>
    </w:p>
    <w:p w14:paraId="357F2542" w14:textId="16180D33" w:rsidR="00012A5E" w:rsidRPr="007A7ABD" w:rsidRDefault="00101F61" w:rsidP="00012A5E">
      <w:pPr>
        <w:spacing w:line="480" w:lineRule="auto"/>
        <w:rPr>
          <w:rFonts w:ascii="Arial" w:hAnsi="Arial" w:cs="Arial"/>
          <w:b/>
          <w:sz w:val="24"/>
          <w:szCs w:val="24"/>
        </w:rPr>
      </w:pPr>
      <w:r w:rsidRPr="007A7ABD">
        <w:rPr>
          <w:rFonts w:ascii="Arial" w:hAnsi="Arial" w:cs="Arial"/>
          <w:b/>
          <w:sz w:val="24"/>
          <w:szCs w:val="24"/>
        </w:rPr>
        <w:br/>
      </w:r>
      <w:r w:rsidR="00994C20" w:rsidRPr="007A7ABD">
        <w:rPr>
          <w:rFonts w:ascii="Arial" w:hAnsi="Arial" w:cs="Arial"/>
          <w:b/>
          <w:sz w:val="24"/>
          <w:szCs w:val="24"/>
        </w:rPr>
        <w:t xml:space="preserve">Statistical </w:t>
      </w:r>
      <w:r w:rsidR="00012A5E" w:rsidRPr="007A7ABD">
        <w:rPr>
          <w:rFonts w:ascii="Arial" w:hAnsi="Arial" w:cs="Arial"/>
          <w:b/>
          <w:sz w:val="24"/>
          <w:szCs w:val="24"/>
        </w:rPr>
        <w:t>Calculations</w:t>
      </w:r>
    </w:p>
    <w:p w14:paraId="239724A4" w14:textId="462FB57D" w:rsidR="00FE2D05" w:rsidRPr="007A7ABD" w:rsidRDefault="00012A5E" w:rsidP="00674C82">
      <w:pPr>
        <w:spacing w:line="480" w:lineRule="auto"/>
        <w:contextualSpacing/>
        <w:rPr>
          <w:rFonts w:ascii="Arial" w:hAnsi="Arial" w:cs="Arial"/>
          <w:b/>
          <w:bCs/>
          <w:sz w:val="24"/>
          <w:szCs w:val="24"/>
        </w:rPr>
      </w:pPr>
      <w:r w:rsidRPr="007A7ABD">
        <w:rPr>
          <w:rFonts w:ascii="Arial" w:hAnsi="Arial" w:cs="Arial"/>
          <w:bCs/>
          <w:sz w:val="24"/>
          <w:szCs w:val="24"/>
        </w:rPr>
        <w:t xml:space="preserve">As described, </w:t>
      </w:r>
      <w:r w:rsidR="00101F61" w:rsidRPr="007A7ABD">
        <w:rPr>
          <w:rFonts w:ascii="Arial" w:hAnsi="Arial" w:cs="Arial"/>
          <w:bCs/>
          <w:sz w:val="24"/>
          <w:szCs w:val="24"/>
        </w:rPr>
        <w:t xml:space="preserve">clinically-relevant </w:t>
      </w:r>
      <w:r w:rsidRPr="007A7ABD">
        <w:rPr>
          <w:rFonts w:ascii="Arial" w:hAnsi="Arial" w:cs="Arial"/>
          <w:bCs/>
          <w:sz w:val="24"/>
          <w:szCs w:val="24"/>
        </w:rPr>
        <w:t xml:space="preserve">MPS thresholds were </w:t>
      </w:r>
      <w:r w:rsidR="00101F61" w:rsidRPr="007A7ABD">
        <w:rPr>
          <w:rFonts w:ascii="Arial" w:hAnsi="Arial" w:cs="Arial"/>
          <w:bCs/>
          <w:sz w:val="24"/>
          <w:szCs w:val="24"/>
        </w:rPr>
        <w:t xml:space="preserve">identified in the primary cohort and further evaluated in the validation cohort. </w:t>
      </w:r>
      <w:r w:rsidR="009B2BAB" w:rsidRPr="007A7ABD">
        <w:rPr>
          <w:rFonts w:ascii="Arial" w:hAnsi="Arial" w:cs="Arial"/>
          <w:bCs/>
          <w:sz w:val="24"/>
          <w:szCs w:val="24"/>
        </w:rPr>
        <w:t>P</w:t>
      </w:r>
      <w:r w:rsidR="00101F61" w:rsidRPr="007A7ABD">
        <w:rPr>
          <w:rFonts w:ascii="Arial" w:hAnsi="Arial" w:cs="Arial"/>
          <w:bCs/>
          <w:sz w:val="24"/>
          <w:szCs w:val="24"/>
        </w:rPr>
        <w:t xml:space="preserve">rostate biopsy results were used to classify MPS values </w:t>
      </w:r>
      <w:r w:rsidR="003B55F3" w:rsidRPr="007A7ABD">
        <w:rPr>
          <w:rFonts w:ascii="Arial" w:hAnsi="Arial" w:cs="Arial"/>
          <w:bCs/>
          <w:sz w:val="24"/>
          <w:szCs w:val="24"/>
        </w:rPr>
        <w:t xml:space="preserve">as </w:t>
      </w:r>
      <w:r w:rsidR="00101F61" w:rsidRPr="007A7ABD">
        <w:rPr>
          <w:rFonts w:ascii="Arial" w:hAnsi="Arial" w:cs="Arial"/>
          <w:bCs/>
          <w:sz w:val="24"/>
          <w:szCs w:val="24"/>
        </w:rPr>
        <w:t xml:space="preserve">true positive (TP), true negative (TN), false positive (FP), and false negative (FN) relative to </w:t>
      </w:r>
      <w:r w:rsidR="009B2BAB" w:rsidRPr="007A7ABD">
        <w:rPr>
          <w:rFonts w:ascii="Arial" w:hAnsi="Arial" w:cs="Arial"/>
          <w:bCs/>
          <w:sz w:val="24"/>
          <w:szCs w:val="24"/>
        </w:rPr>
        <w:t>the proposed thresholds. Performance measures were determined by standard calculations</w:t>
      </w:r>
      <w:r w:rsidRPr="007A7ABD">
        <w:rPr>
          <w:rFonts w:ascii="Arial" w:hAnsi="Arial" w:cs="Arial"/>
          <w:bCs/>
          <w:sz w:val="24"/>
          <w:szCs w:val="24"/>
        </w:rPr>
        <w:t xml:space="preserve"> for sensitivity (TP / TP+FN), specificity (TN / TN+FP), negative predictive value (TN / TN+FN), and positive predictive value (TP / TP+FP)</w:t>
      </w:r>
      <w:r w:rsidR="00D060D5">
        <w:rPr>
          <w:rFonts w:ascii="Arial" w:hAnsi="Arial" w:cs="Arial"/>
          <w:bCs/>
          <w:sz w:val="24"/>
          <w:szCs w:val="24"/>
        </w:rPr>
        <w:t xml:space="preserve"> </w:t>
      </w:r>
      <w:r w:rsidRPr="007A7ABD">
        <w:rPr>
          <w:rFonts w:ascii="Arial" w:hAnsi="Arial" w:cs="Arial"/>
          <w:bCs/>
          <w:sz w:val="24"/>
          <w:szCs w:val="24"/>
        </w:rPr>
        <w:fldChar w:fldCharType="begin" w:fldLock="1"/>
      </w:r>
      <w:r w:rsidR="008E1A80">
        <w:rPr>
          <w:rFonts w:ascii="Arial" w:hAnsi="Arial" w:cs="Arial"/>
          <w:bCs/>
          <w:sz w:val="24"/>
          <w:szCs w:val="24"/>
        </w:rPr>
        <w:instrText>ADDIN CSL_CITATION {"citationItems":[{"id":"ITEM-1","itemData":{"ISSN":"0159-8090 (Print)","PMID":"18852864","abstract":"* Diagnostic accuracy studies address how well a test identifies the target  condition of interest. * Sensitivity, specificity, predictive values and likelihood ratios (LRs) are all different ways of expressing test performance. * Receiver operating characteristic (ROC) curves compare sensitivity versus specificity across a range of values for the ability to predict a dichotomous outcome. Area under the ROC curve is another measure of test performance. * All of these parameters are not intrinsic to the test and are determined by the clinical context in which the test is employed. * High sensitivity corresponds to high negative predictive value and is the ideal property of a \"rule-out\" test. * High specificity corresponds to high positive predictive value and is the ideal property of a \"rule-in\" test. * LRs leverage pre-test into post-test probabilities of a condition of interest and there is some evidence that they are more intelligible to users.","author":[{"dropping-particle":"","family":"Florkowski","given":"Christopher M","non-dropping-particle":"","parse-names":false,"suffix":""}],"container-title":"The Clinical biochemist. Reviews","id":"ITEM-1","issue":"Suppl 1","issued":{"date-parts":[["2008","8"]]},"language":"eng","page":"S83-7","title":"Sensitivity, specificity, receiver-operating characteristic (ROC) curves and  likelihood ratios: communicating the performance of diagnostic tests.","type":"article-journal","volume":"29 Suppl 1"},"uris":["http://www.mendeley.com/documents/?uuid=ca7d7a2b-c361-47e9-aec5-a8d4fac59bf3"]},{"id":"ITEM-2","itemData":{"DOI":"10.1016/j.ucl.2015.08.003","ISSN":"1558-318X (Electronic)","PMID":"26614026","abstract":"In light of the overdiagnosis and overtreatment associated with widespread  prostate-specific antigen-based screening, controversy persists surrounding the detection and diagnosis of prostate cancer (PCa). Given its anatomic proximity to the prostate, urine has been proposed as a noninvasive substrate for prostatic biomarkers. With greater understanding of the molecular pathways of carcinogenesis and significant technological advances, the breadth of potential biomarkers is substantial. In this review, the authors aim to provide an evidence-based assessment of current and emerging urinary biomarkers used in the detection and prognostication of PCa and high-grade PCa, with particular attention on clinically relevant findings.","author":[{"dropping-particle":"","family":"Tosoian","given":"Jeffrey J","non-dropping-particle":"","parse-names":false,"suffix":""},{"dropping-particle":"","family":"Ross","given":"Ashley E","non-dropping-particle":"","parse-names":false,"suffix":""},{"dropping-particle":"","family":"Sokoll","given":"Lori J","non-dropping-particle":"","parse-names":false,"suffix":""},{"dropping-particle":"","family":"Partin","given":"Alan W","non-dropping-particle":"","parse-names":false,"suffix":""},{"dropping-particle":"","family":"Pavlovich","given":"Christian P","non-dropping-particle":"","parse-names":false,"suffix":""}],"container-title":"The Urologic clinics of North America","id":"ITEM-2","issue":"1","issued":{"date-parts":[["2016","2"]]},"language":"eng","page":"17-38","publisher-place":"United States","title":"Urinary Biomarkers for Prostate Cancer.","type":"article-journal","volume":"43"},"uris":["http://www.mendeley.com/documents/?uuid=eb97fcbf-fe0e-465c-9230-f50ced479c38"]}],"mendeley":{"formattedCitation":"[2,3]","plainTextFormattedCitation":"[2,3]","previouslyFormattedCitation":"[2,3]"},"properties":{"noteIndex":0},"schema":"https://github.com/citation-style-language/schema/raw/master/csl-citation.json"}</w:instrText>
      </w:r>
      <w:r w:rsidRPr="007A7ABD">
        <w:rPr>
          <w:rFonts w:ascii="Arial" w:hAnsi="Arial" w:cs="Arial"/>
          <w:bCs/>
          <w:sz w:val="24"/>
          <w:szCs w:val="24"/>
        </w:rPr>
        <w:fldChar w:fldCharType="separate"/>
      </w:r>
      <w:r w:rsidR="00D060D5" w:rsidRPr="00D060D5">
        <w:rPr>
          <w:rFonts w:ascii="Arial" w:hAnsi="Arial" w:cs="Arial"/>
          <w:bCs/>
          <w:noProof/>
          <w:sz w:val="24"/>
          <w:szCs w:val="24"/>
        </w:rPr>
        <w:t>[2,3]</w:t>
      </w:r>
      <w:r w:rsidRPr="007A7ABD">
        <w:rPr>
          <w:rFonts w:ascii="Arial" w:hAnsi="Arial" w:cs="Arial"/>
          <w:bCs/>
          <w:sz w:val="24"/>
          <w:szCs w:val="24"/>
        </w:rPr>
        <w:fldChar w:fldCharType="end"/>
      </w:r>
      <w:r w:rsidR="00D060D5">
        <w:rPr>
          <w:rFonts w:ascii="Arial" w:hAnsi="Arial" w:cs="Arial"/>
          <w:bCs/>
          <w:sz w:val="24"/>
          <w:szCs w:val="24"/>
        </w:rPr>
        <w:t>.</w:t>
      </w:r>
      <w:r w:rsidRPr="007A7ABD">
        <w:rPr>
          <w:rFonts w:ascii="Arial" w:hAnsi="Arial" w:cs="Arial"/>
          <w:bCs/>
          <w:sz w:val="24"/>
          <w:szCs w:val="24"/>
        </w:rPr>
        <w:t xml:space="preserve"> The proportion of biopsies avoided was calculated as</w:t>
      </w:r>
      <w:r w:rsidR="009B2BAB" w:rsidRPr="007A7ABD">
        <w:rPr>
          <w:rFonts w:ascii="Arial" w:hAnsi="Arial" w:cs="Arial"/>
          <w:bCs/>
          <w:sz w:val="24"/>
          <w:szCs w:val="24"/>
        </w:rPr>
        <w:t xml:space="preserve"> the </w:t>
      </w:r>
      <w:r w:rsidRPr="007A7ABD">
        <w:rPr>
          <w:rFonts w:ascii="Arial" w:hAnsi="Arial" w:cs="Arial"/>
          <w:bCs/>
          <w:sz w:val="24"/>
          <w:szCs w:val="24"/>
        </w:rPr>
        <w:t xml:space="preserve">number of negative tests </w:t>
      </w:r>
      <w:r w:rsidR="009B2BAB" w:rsidRPr="007A7ABD">
        <w:rPr>
          <w:rFonts w:ascii="Arial" w:hAnsi="Arial" w:cs="Arial"/>
          <w:bCs/>
          <w:sz w:val="24"/>
          <w:szCs w:val="24"/>
        </w:rPr>
        <w:t>divided by the</w:t>
      </w:r>
      <w:r w:rsidRPr="007A7ABD">
        <w:rPr>
          <w:rFonts w:ascii="Arial" w:hAnsi="Arial" w:cs="Arial"/>
          <w:bCs/>
          <w:sz w:val="24"/>
          <w:szCs w:val="24"/>
        </w:rPr>
        <w:t xml:space="preserve"> number of patients. The proportion of unnecessary biopsies avoided </w:t>
      </w:r>
      <w:r w:rsidR="009B2BAB" w:rsidRPr="007A7ABD">
        <w:rPr>
          <w:rFonts w:ascii="Arial" w:hAnsi="Arial" w:cs="Arial"/>
          <w:bCs/>
          <w:sz w:val="24"/>
          <w:szCs w:val="24"/>
        </w:rPr>
        <w:t xml:space="preserve">(i.e. specificity) </w:t>
      </w:r>
      <w:r w:rsidRPr="007A7ABD">
        <w:rPr>
          <w:rFonts w:ascii="Arial" w:hAnsi="Arial" w:cs="Arial"/>
          <w:bCs/>
          <w:sz w:val="24"/>
          <w:szCs w:val="24"/>
        </w:rPr>
        <w:t>was calculated as</w:t>
      </w:r>
      <w:r w:rsidR="009B2BAB" w:rsidRPr="007A7ABD">
        <w:rPr>
          <w:rFonts w:ascii="Arial" w:hAnsi="Arial" w:cs="Arial"/>
          <w:bCs/>
          <w:sz w:val="24"/>
          <w:szCs w:val="24"/>
        </w:rPr>
        <w:t xml:space="preserve"> the </w:t>
      </w:r>
      <w:r w:rsidRPr="007A7ABD">
        <w:rPr>
          <w:rFonts w:ascii="Arial" w:hAnsi="Arial" w:cs="Arial"/>
          <w:bCs/>
          <w:sz w:val="24"/>
          <w:szCs w:val="24"/>
        </w:rPr>
        <w:t xml:space="preserve">number of true negative tests </w:t>
      </w:r>
      <w:r w:rsidR="009B2BAB" w:rsidRPr="007A7ABD">
        <w:rPr>
          <w:rFonts w:ascii="Arial" w:hAnsi="Arial" w:cs="Arial"/>
          <w:bCs/>
          <w:sz w:val="24"/>
          <w:szCs w:val="24"/>
        </w:rPr>
        <w:t>divided by the total</w:t>
      </w:r>
      <w:r w:rsidRPr="007A7ABD">
        <w:rPr>
          <w:rFonts w:ascii="Arial" w:hAnsi="Arial" w:cs="Arial"/>
          <w:bCs/>
          <w:sz w:val="24"/>
          <w:szCs w:val="24"/>
        </w:rPr>
        <w:t xml:space="preserve"> number of patients without GG≥2 cancer. The proportion of GG≥2 cancers missed or delayed was calculated as</w:t>
      </w:r>
      <w:r w:rsidR="009B2BAB" w:rsidRPr="007A7ABD">
        <w:rPr>
          <w:rFonts w:ascii="Arial" w:hAnsi="Arial" w:cs="Arial"/>
          <w:bCs/>
          <w:sz w:val="24"/>
          <w:szCs w:val="24"/>
        </w:rPr>
        <w:t xml:space="preserve"> the </w:t>
      </w:r>
      <w:r w:rsidRPr="007A7ABD">
        <w:rPr>
          <w:rFonts w:ascii="Arial" w:hAnsi="Arial" w:cs="Arial"/>
          <w:bCs/>
          <w:sz w:val="24"/>
          <w:szCs w:val="24"/>
        </w:rPr>
        <w:lastRenderedPageBreak/>
        <w:t xml:space="preserve">number of </w:t>
      </w:r>
      <w:r w:rsidR="009B2BAB" w:rsidRPr="007A7ABD">
        <w:rPr>
          <w:rFonts w:ascii="Arial" w:hAnsi="Arial" w:cs="Arial"/>
          <w:bCs/>
          <w:sz w:val="24"/>
          <w:szCs w:val="24"/>
        </w:rPr>
        <w:t xml:space="preserve">patients with </w:t>
      </w:r>
      <w:r w:rsidRPr="007A7ABD">
        <w:rPr>
          <w:rFonts w:ascii="Arial" w:hAnsi="Arial" w:cs="Arial"/>
          <w:bCs/>
          <w:sz w:val="24"/>
          <w:szCs w:val="24"/>
        </w:rPr>
        <w:t xml:space="preserve">negative tests </w:t>
      </w:r>
      <w:r w:rsidR="009B2BAB" w:rsidRPr="007A7ABD">
        <w:rPr>
          <w:rFonts w:ascii="Arial" w:hAnsi="Arial" w:cs="Arial"/>
          <w:bCs/>
          <w:sz w:val="24"/>
          <w:szCs w:val="24"/>
        </w:rPr>
        <w:t>found to have</w:t>
      </w:r>
      <w:r w:rsidRPr="007A7ABD">
        <w:rPr>
          <w:rFonts w:ascii="Arial" w:hAnsi="Arial" w:cs="Arial"/>
          <w:bCs/>
          <w:sz w:val="24"/>
          <w:szCs w:val="24"/>
        </w:rPr>
        <w:t xml:space="preserve"> GG≥2 cancer </w:t>
      </w:r>
      <w:r w:rsidR="009B2BAB" w:rsidRPr="007A7ABD">
        <w:rPr>
          <w:rFonts w:ascii="Arial" w:hAnsi="Arial" w:cs="Arial"/>
          <w:bCs/>
          <w:sz w:val="24"/>
          <w:szCs w:val="24"/>
        </w:rPr>
        <w:t>divided by the total</w:t>
      </w:r>
      <w:r w:rsidRPr="007A7ABD">
        <w:rPr>
          <w:rFonts w:ascii="Arial" w:hAnsi="Arial" w:cs="Arial"/>
          <w:bCs/>
          <w:sz w:val="24"/>
          <w:szCs w:val="24"/>
        </w:rPr>
        <w:t xml:space="preserve"> number of GG≥2 cancers.</w:t>
      </w:r>
      <w:r w:rsidRPr="007A7ABD">
        <w:rPr>
          <w:rFonts w:ascii="Arial" w:hAnsi="Arial" w:cs="Arial"/>
          <w:b/>
          <w:bCs/>
          <w:sz w:val="24"/>
          <w:szCs w:val="24"/>
        </w:rPr>
        <w:t xml:space="preserve"> </w:t>
      </w:r>
    </w:p>
    <w:p w14:paraId="3186A492" w14:textId="77777777" w:rsidR="00FE2D05" w:rsidRPr="007A7ABD" w:rsidRDefault="00FE2D05" w:rsidP="00674C82">
      <w:pPr>
        <w:spacing w:line="480" w:lineRule="auto"/>
        <w:contextualSpacing/>
        <w:rPr>
          <w:rFonts w:ascii="Arial" w:hAnsi="Arial" w:cs="Arial"/>
          <w:b/>
          <w:bCs/>
          <w:sz w:val="24"/>
          <w:szCs w:val="24"/>
        </w:rPr>
      </w:pPr>
    </w:p>
    <w:p w14:paraId="025BC46B" w14:textId="08586197" w:rsidR="00ED1F1F" w:rsidRPr="007A7ABD" w:rsidRDefault="00ED1F1F">
      <w:pPr>
        <w:rPr>
          <w:rFonts w:ascii="Arial" w:hAnsi="Arial" w:cs="Arial"/>
          <w:b/>
          <w:bCs/>
          <w:sz w:val="24"/>
          <w:szCs w:val="24"/>
        </w:rPr>
      </w:pPr>
    </w:p>
    <w:p w14:paraId="71B57565" w14:textId="59659761" w:rsidR="007A7ABD" w:rsidRPr="007A7ABD" w:rsidRDefault="00674C82" w:rsidP="00FE2D05">
      <w:pPr>
        <w:spacing w:line="480" w:lineRule="auto"/>
        <w:contextualSpacing/>
        <w:rPr>
          <w:rFonts w:ascii="Arial" w:hAnsi="Arial" w:cs="Arial"/>
          <w:b/>
          <w:bCs/>
          <w:sz w:val="24"/>
          <w:szCs w:val="24"/>
        </w:rPr>
      </w:pPr>
      <w:r w:rsidRPr="007A7ABD">
        <w:rPr>
          <w:rFonts w:ascii="Arial" w:hAnsi="Arial" w:cs="Arial"/>
          <w:b/>
          <w:bCs/>
          <w:sz w:val="24"/>
          <w:szCs w:val="24"/>
        </w:rPr>
        <w:t xml:space="preserve">Defining </w:t>
      </w:r>
      <w:r w:rsidR="00ED1F1F" w:rsidRPr="007A7ABD">
        <w:rPr>
          <w:rFonts w:ascii="Arial" w:hAnsi="Arial" w:cs="Arial"/>
          <w:b/>
          <w:bCs/>
          <w:sz w:val="24"/>
          <w:szCs w:val="24"/>
        </w:rPr>
        <w:t>Risk Categories</w:t>
      </w:r>
      <w:r w:rsidRPr="007A7ABD">
        <w:rPr>
          <w:rFonts w:ascii="Arial" w:hAnsi="Arial" w:cs="Arial"/>
          <w:b/>
          <w:bCs/>
          <w:sz w:val="24"/>
          <w:szCs w:val="24"/>
        </w:rPr>
        <w:t xml:space="preserve">: </w:t>
      </w:r>
      <w:r w:rsidR="00012A5E" w:rsidRPr="007A7ABD">
        <w:rPr>
          <w:rFonts w:ascii="Arial" w:hAnsi="Arial" w:cs="Arial"/>
          <w:b/>
          <w:bCs/>
          <w:sz w:val="24"/>
          <w:szCs w:val="24"/>
        </w:rPr>
        <w:t xml:space="preserve">Outcome </w:t>
      </w:r>
      <w:r w:rsidR="001E034E" w:rsidRPr="007A7ABD">
        <w:rPr>
          <w:rFonts w:ascii="Arial" w:hAnsi="Arial" w:cs="Arial"/>
          <w:b/>
          <w:bCs/>
          <w:sz w:val="24"/>
          <w:szCs w:val="24"/>
        </w:rPr>
        <w:t>P</w:t>
      </w:r>
      <w:r w:rsidR="00012A5E" w:rsidRPr="007A7ABD">
        <w:rPr>
          <w:rFonts w:ascii="Arial" w:hAnsi="Arial" w:cs="Arial"/>
          <w:b/>
          <w:bCs/>
          <w:sz w:val="24"/>
          <w:szCs w:val="24"/>
        </w:rPr>
        <w:t xml:space="preserve">revalence by MPS </w:t>
      </w:r>
      <w:r w:rsidR="00ED1F1F" w:rsidRPr="007A7ABD">
        <w:rPr>
          <w:rFonts w:ascii="Arial" w:hAnsi="Arial" w:cs="Arial"/>
          <w:b/>
          <w:bCs/>
          <w:sz w:val="24"/>
          <w:szCs w:val="24"/>
        </w:rPr>
        <w:t>V</w:t>
      </w:r>
      <w:r w:rsidR="00012A5E" w:rsidRPr="007A7ABD">
        <w:rPr>
          <w:rFonts w:ascii="Arial" w:hAnsi="Arial" w:cs="Arial"/>
          <w:b/>
          <w:bCs/>
          <w:sz w:val="24"/>
          <w:szCs w:val="24"/>
        </w:rPr>
        <w:t xml:space="preserve">alues </w:t>
      </w:r>
    </w:p>
    <w:p w14:paraId="30FA9889" w14:textId="158E0BD8" w:rsidR="00342479" w:rsidRPr="007A7ABD" w:rsidRDefault="444C7DF9" w:rsidP="00FE2D05">
      <w:pPr>
        <w:spacing w:line="480" w:lineRule="auto"/>
        <w:contextualSpacing/>
        <w:rPr>
          <w:rFonts w:ascii="Arial" w:hAnsi="Arial" w:cs="Arial"/>
          <w:sz w:val="24"/>
          <w:szCs w:val="24"/>
        </w:rPr>
      </w:pPr>
      <w:r w:rsidRPr="444C7DF9">
        <w:rPr>
          <w:rFonts w:ascii="Arial" w:hAnsi="Arial" w:cs="Arial"/>
          <w:sz w:val="24"/>
          <w:szCs w:val="24"/>
        </w:rPr>
        <w:t xml:space="preserve">Previous authors have described why statistical methods are inappropriate for identifying </w:t>
      </w:r>
      <w:proofErr w:type="spellStart"/>
      <w:r w:rsidRPr="444C7DF9">
        <w:rPr>
          <w:rFonts w:ascii="Arial" w:hAnsi="Arial" w:cs="Arial"/>
          <w:sz w:val="24"/>
          <w:szCs w:val="24"/>
        </w:rPr>
        <w:t>cutpoints</w:t>
      </w:r>
      <w:proofErr w:type="spellEnd"/>
      <w:r w:rsidRPr="444C7DF9">
        <w:rPr>
          <w:rFonts w:ascii="Arial" w:hAnsi="Arial" w:cs="Arial"/>
          <w:sz w:val="24"/>
          <w:szCs w:val="24"/>
        </w:rPr>
        <w:t xml:space="preserve"> </w:t>
      </w:r>
      <w:r w:rsidR="007F1FBE" w:rsidRPr="444C7DF9">
        <w:rPr>
          <w:rFonts w:ascii="Arial" w:hAnsi="Arial" w:cs="Arial"/>
          <w:sz w:val="24"/>
          <w:szCs w:val="24"/>
        </w:rPr>
        <w:fldChar w:fldCharType="begin" w:fldLock="1"/>
      </w:r>
      <w:r w:rsidR="008E1A80">
        <w:rPr>
          <w:rFonts w:ascii="Arial" w:hAnsi="Arial" w:cs="Arial"/>
          <w:sz w:val="24"/>
          <w:szCs w:val="24"/>
        </w:rPr>
        <w:instrText>ADDIN CSL_CITATION {"citationItems":[{"id":"ITEM-1","itemData":{"DOI":"10.1016/j.eururo.2018.12.014","ISSN":"1873-7560 (Electronic)","PMID":"30580902","abstract":"Investigators submitting clinical research to European Urology are encouraged to  follow guidelines for the reporting of statistics. Adoption of the guidelines will not only increase the quality of published papers, but also improve statistical knowledge in urology in general.","author":[{"dropping-particle":"","family":"Assel","given":"Melissa","non-dropping-particle":"","parse-names":false,"suffix":""},{"dropping-particle":"","family":"Sjoberg","given":"Daniel","non-dropping-particle":"","parse-names":false,"suffix":""},{"dropping-particle":"","family":"Elders","given":"Andrew","non-dropping-particle":"","parse-names":false,"suffix":""},{"dropping-particle":"","family":"Wang","given":"Xuemei","non-dropping-particle":"","parse-names":false,"suffix":""},{"dropping-particle":"","family":"Huo","given":"Dezheng","non-dropping-particle":"","parse-names":false,"suffix":""},{"dropping-particle":"","family":"Botchway","given":"Albert","non-dropping-particle":"","parse-names":false,"suffix":""},{"dropping-particle":"","family":"Delfino","given":"Kristin","non-dropping-particle":"","parse-names":false,"suffix":""},{"dropping-particle":"","family":"Fan","given":"Yunhua","non-dropping-particle":"","parse-names":false,"suffix":""},{"dropping-particle":"","family":"Zhao","given":"Zhiguo","non-dropping-particle":"","parse-names":false,"suffix":""},{"dropping-particle":"","family":"Koyama","given":"Tatsuki","non-dropping-particle":"","parse-names":false,"suffix":""},{"dropping-particle":"","family":"Hollenbeck","given":"Brent","non-dropping-particle":"","parse-names":false,"suffix":""},{"dropping-particle":"","family":"Qin","given":"Rui","non-dropping-particle":"","parse-names":false,"suffix":""},{"dropping-particle":"","family":"Zahnd","given":"Whitney","non-dropping-particle":"","parse-names":false,"suffix":""},{"dropping-particle":"","family":"Zabor","given":"Emily C","non-dropping-particle":"","parse-names":false,"suffix":""},{"dropping-particle":"","family":"Kattan","given":"Michael W","non-dropping-particle":"","parse-names":false,"suffix":""},{"dropping-particle":"","family":"Vickers","given":"Andrew J","non-dropping-particle":"","parse-names":false,"suffix":""}],"container-title":"European urology","id":"ITEM-1","issue":"3","issued":{"date-parts":[["2019","3"]]},"language":"eng","page":"358-367","title":"Guidelines for Reporting of Statistics for Clinical Research in Urology.","type":"article","volume":"75"},"uris":["http://www.mendeley.com/documents/?uuid=1df7f409-9902-4b88-8910-8140350f0424"]}],"mendeley":{"formattedCitation":"[4]","plainTextFormattedCitation":"[4]","previouslyFormattedCitation":"[4]"},"properties":{"noteIndex":0},"schema":"https://github.com/citation-style-language/schema/raw/master/csl-citation.json"}</w:instrText>
      </w:r>
      <w:r w:rsidR="007F1FBE" w:rsidRPr="444C7DF9">
        <w:rPr>
          <w:rFonts w:ascii="Arial" w:hAnsi="Arial" w:cs="Arial"/>
          <w:sz w:val="24"/>
          <w:szCs w:val="24"/>
        </w:rPr>
        <w:fldChar w:fldCharType="separate"/>
      </w:r>
      <w:r w:rsidRPr="444C7DF9">
        <w:rPr>
          <w:rFonts w:ascii="Arial" w:hAnsi="Arial" w:cs="Arial"/>
          <w:noProof/>
          <w:sz w:val="24"/>
          <w:szCs w:val="24"/>
        </w:rPr>
        <w:t>[4]</w:t>
      </w:r>
      <w:r w:rsidR="007F1FBE" w:rsidRPr="444C7DF9">
        <w:rPr>
          <w:rFonts w:ascii="Arial" w:hAnsi="Arial" w:cs="Arial"/>
          <w:sz w:val="24"/>
          <w:szCs w:val="24"/>
        </w:rPr>
        <w:fldChar w:fldCharType="end"/>
      </w:r>
      <w:r w:rsidRPr="444C7DF9">
        <w:rPr>
          <w:rFonts w:ascii="Arial" w:hAnsi="Arial" w:cs="Arial"/>
          <w:sz w:val="24"/>
          <w:szCs w:val="24"/>
        </w:rPr>
        <w:t xml:space="preserve">. Specifically, numerical methods do not account for the clinical consequences of incorrect categorization (i.e. false positives, false negatives). Therefore, consistent with our previous analysis in biopsy-naïve </w:t>
      </w:r>
      <w:r w:rsidRPr="008E1A80">
        <w:rPr>
          <w:rFonts w:ascii="Arial" w:hAnsi="Arial" w:cs="Arial"/>
          <w:sz w:val="24"/>
          <w:szCs w:val="24"/>
        </w:rPr>
        <w:t xml:space="preserve">patients </w:t>
      </w:r>
      <w:r w:rsidR="008E1A80" w:rsidRPr="008E1A80">
        <w:rPr>
          <w:rFonts w:ascii="Arial" w:hAnsi="Arial" w:cs="Arial"/>
          <w:sz w:val="24"/>
          <w:szCs w:val="24"/>
        </w:rPr>
        <w:fldChar w:fldCharType="begin" w:fldLock="1"/>
      </w:r>
      <w:r w:rsidR="008E1A80" w:rsidRPr="008E1A80">
        <w:rPr>
          <w:rFonts w:ascii="Arial" w:hAnsi="Arial" w:cs="Arial"/>
          <w:sz w:val="24"/>
          <w:szCs w:val="24"/>
        </w:rPr>
        <w:instrText>ADDIN CSL_CITATION {"citationItems":[{"id":"ITEM-1","itemData":{"DOI":"10.1097/JU.0000000000001430","ISSN":"1527-3792 (Electronic)","PMID":"33080150","abstract":"PURPOSE: The MyProstateScore test was validated for improved detection of clinically  significant (grade group ≥2) prostate cancer relative to prostate specific antigen based risk calculators. We sought to validate an optimal MyProstateScore threshold for clinical use in ruling out grade group ≥2 cancer in men referred for biopsy. MATERIALS AND METHODS: Biopsy naïve men provided post-digital rectal examination urine prior to biopsy. MyProstateScore was calculated using the validated, locked multivariable model including only serum prostate specific antigen, urinary prostate cancer antigen 3 and urinary TMPRSS2:ERG. The MyProstateScore threshold approximating 95% sensitivity for grade group ≥2 cancer was identified in a training cohort, and performance was measured in 2 external validation cohorts. We assessed the 1) overall biopsy referral population and 2) population meeting guideline based testing criteria (ie, prostate specific antigen 3-10, or &lt;3 with suspicious digital rectal examination). RESULTS: Validation cohorts were prospectively enrolled from academic (977 patients, median prostate specific antigen 4.5, IQR 3.1-6.0) and community (548, median prostate specific antigen 4.9, IQR 3.7-6.8) settings. In the overall validation population (1,525 patients), 338 men (22%) had grade group ≥2 cancer on biopsy. The MyProstateScore threshold of 10 provided 97% sensitivity and 98% negative predictive value for grade group ≥2 cancer. MyProstateScore testing would have prevented 387 unnecessary biopsies (33%), while missing only 10 grade group ≥2 cancers (3.0%). In 1,242 patients meeting guideline based criteria, MyProstateScore ≤10 provided 96% sensitivity and 97% negative predictive value, and would have prevented 32% of unnecessary biopsies, missing 3.7% of grade group ≥2 cancers. CONCLUSIONS: In a large, clinically pertinent biopsy referral population, MyProstateScore ≤10 provided exceptional sensitivity and negative predictive value for ruling out grade group ≥2 cancer. This straightforward secondary testing approach would reduce the use of more costly and invasive procedures after screening with prostate specific antigen.","author":[{"dropping-particle":"","family":"Tosoian","given":"Jeffrey J","non-dropping-particle":"","parse-names":false,"suffix":""},{"dropping-particle":"","family":"Trock","given":"Bruce J","non-dropping-particle":"","parse-names":false,"suffix":""},{"dropping-particle":"","family":"Morgan","given":"Todd M","non-dropping-particle":"","parse-names":false,"suffix":""},{"dropping-particle":"","family":"Salami","given":"Simpa S","non-dropping-particle":"","parse-names":false,"suffix":""},{"dropping-particle":"","family":"Tomlins","given":"Scott A","non-dropping-particle":"","parse-names":false,"suffix":""},{"dropping-particle":"","family":"Spratt","given":"Daniel E","non-dropping-particle":"","parse-names":false,"suffix":""},{"dropping-particle":"","family":"Siddiqui","given":"Javed","non-dropping-particle":"","parse-names":false,"suffix":""},{"dropping-particle":"","family":"Kunju","given":"Lakshmi P","non-dropping-particle":"","parse-names":false,"suffix":""},{"dropping-particle":"","family":"Botbyl","given":"Rachel","non-dropping-particle":"","parse-names":false,"suffix":""},{"dropping-particle":"","family":"Chopra","given":"Zoey","non-dropping-particle":"","parse-names":false,"suffix":""},{"dropping-particle":"","family":"Pandian","given":"Balaji","non-dropping-particle":"","parse-names":false,"suffix":""},{"dropping-particle":"","family":"Eyrich","given":"Nicholas W","non-dropping-particle":"","parse-names":false,"suffix":""},{"dropping-particle":"","family":"Longton","given":"Gary","non-dropping-particle":"","parse-names":false,"suffix":""},{"dropping-particle":"","family":"Zheng","given":"Yingye","non-dropping-particle":"","parse-names":false,"suffix":""},{"dropping-particle":"","family":"Palapattu","given":"Ganesh S","non-dropping-particle":"","parse-names":false,"suffix":""},{"dropping-particle":"","family":"Wei","given":"John T","non-dropping-particle":"","parse-names":false,"suffix":""},{"dropping-particle":"","family":"Niknafs","given":"Yashar S","non-dropping-particle":"","parse-names":false,"suffix":""},{"dropping-particle":"","family":"Chinnaiyan","given":"Arul M","non-dropping-particle":"","parse-names":false,"suffix":""}],"container-title":"The Journal of urology","id":"ITEM-1","issue":"3","issued":{"date-parts":[["2021","3"]]},"language":"eng","page":"732-739","title":"Use of the MyProstateScore Test to Rule Out Clinically Significant Cancer:  Validation of a Straightforward Clinical Testing Approach.","type":"article-journal","volume":"205"},"uris":["http://www.mendeley.com/documents/?uuid=6c317cf2-4cfb-4de0-bb4e-c174d36f0b26"]}],"mendeley":{"formattedCitation":"[5]","plainTextFormattedCitation":"[5]"},"properties":{"noteIndex":0},"schema":"https://github.com/citation-style-language/schema/raw/master/csl-citation.json"}</w:instrText>
      </w:r>
      <w:r w:rsidR="008E1A80" w:rsidRPr="008E1A80">
        <w:rPr>
          <w:rFonts w:ascii="Arial" w:hAnsi="Arial" w:cs="Arial"/>
          <w:sz w:val="24"/>
          <w:szCs w:val="24"/>
        </w:rPr>
        <w:fldChar w:fldCharType="separate"/>
      </w:r>
      <w:r w:rsidR="008E1A80" w:rsidRPr="008E1A80">
        <w:rPr>
          <w:rFonts w:ascii="Arial" w:hAnsi="Arial" w:cs="Arial"/>
          <w:noProof/>
          <w:sz w:val="24"/>
          <w:szCs w:val="24"/>
        </w:rPr>
        <w:t>[5]</w:t>
      </w:r>
      <w:r w:rsidR="008E1A80" w:rsidRPr="008E1A80">
        <w:rPr>
          <w:rFonts w:ascii="Arial" w:hAnsi="Arial" w:cs="Arial"/>
          <w:sz w:val="24"/>
          <w:szCs w:val="24"/>
        </w:rPr>
        <w:fldChar w:fldCharType="end"/>
      </w:r>
      <w:r w:rsidRPr="008E1A80">
        <w:rPr>
          <w:rFonts w:ascii="Arial" w:hAnsi="Arial" w:cs="Arial"/>
          <w:sz w:val="24"/>
          <w:szCs w:val="24"/>
        </w:rPr>
        <w:t>,</w:t>
      </w:r>
      <w:r w:rsidRPr="444C7DF9">
        <w:rPr>
          <w:rFonts w:ascii="Arial" w:hAnsi="Arial" w:cs="Arial"/>
          <w:sz w:val="24"/>
          <w:szCs w:val="24"/>
        </w:rPr>
        <w:t xml:space="preserve"> the current approach to categorization was based on the clinical rationale described. Nonetheless, previous authors have provided statistical approaches to generally assess the numerical appropriateness of cutpoints. Williams and colleagues at the Mayo Clinic Department of Health Sciences Research offer that the appropriateness of cutpoint models are reasonably supported when a monotonic relationship is observed between the continuous covariate and binary outcome </w:t>
      </w:r>
      <w:r w:rsidR="007F1FBE" w:rsidRPr="444C7DF9">
        <w:rPr>
          <w:rFonts w:ascii="Arial" w:hAnsi="Arial" w:cs="Arial"/>
          <w:sz w:val="24"/>
          <w:szCs w:val="24"/>
        </w:rPr>
        <w:fldChar w:fldCharType="begin" w:fldLock="1"/>
      </w:r>
      <w:r w:rsidR="008E1A80">
        <w:rPr>
          <w:rFonts w:ascii="Arial" w:hAnsi="Arial" w:cs="Arial"/>
          <w:sz w:val="24"/>
          <w:szCs w:val="24"/>
        </w:rPr>
        <w:instrText>ADDIN CSL_CITATION {"citationItems":[{"id":"ITEM-1","itemData":{"author":[{"dropping-particle":"","family":"Williams","given":"Brent","non-dropping-particle":"","parse-names":false,"suffix":""},{"dropping-particle":"","family":"Mandrekar","given":"Jayawant","non-dropping-particle":"","parse-names":false,"suffix":""},{"dropping-particle":"","family":"Mandrekar","given":"Sumithra","non-dropping-particle":"","parse-names":false,"suffix":""},{"dropping-particle":"","family":"Cha","given":"Stephen","non-dropping-particle":"","parse-names":false,"suffix":""},{"dropping-particle":"","family":"Furth","given":"Alfred","non-dropping-particle":"","parse-names":false,"suffix":""}],"container-title":"Technical Report Series","id":"ITEM-1","issued":{"date-parts":[["2006"]]},"title":"Finding Optimal Cutpoints for Continuous Covariates with Binary and Time-to-Event Outcomes","type":"article-journal","volume":"79"},"uris":["http://www.mendeley.com/documents/?uuid=89faacd4-08b7-4aac-ad89-c1ec7335d599"]}],"mendeley":{"formattedCitation":"[6]","plainTextFormattedCitation":"[6]","previouslyFormattedCitation":"[5]"},"properties":{"noteIndex":0},"schema":"https://github.com/citation-style-language/schema/raw/master/csl-citation.json"}</w:instrText>
      </w:r>
      <w:r w:rsidR="007F1FBE" w:rsidRPr="444C7DF9">
        <w:rPr>
          <w:rFonts w:ascii="Arial" w:hAnsi="Arial" w:cs="Arial"/>
          <w:sz w:val="24"/>
          <w:szCs w:val="24"/>
        </w:rPr>
        <w:fldChar w:fldCharType="separate"/>
      </w:r>
      <w:r w:rsidR="008E1A80" w:rsidRPr="008E1A80">
        <w:rPr>
          <w:rFonts w:ascii="Arial" w:hAnsi="Arial" w:cs="Arial"/>
          <w:noProof/>
          <w:sz w:val="24"/>
          <w:szCs w:val="24"/>
        </w:rPr>
        <w:t>[6]</w:t>
      </w:r>
      <w:r w:rsidR="007F1FBE" w:rsidRPr="444C7DF9">
        <w:rPr>
          <w:rFonts w:ascii="Arial" w:hAnsi="Arial" w:cs="Arial"/>
          <w:sz w:val="24"/>
          <w:szCs w:val="24"/>
        </w:rPr>
        <w:fldChar w:fldCharType="end"/>
      </w:r>
      <w:r w:rsidRPr="444C7DF9">
        <w:rPr>
          <w:rFonts w:ascii="Arial" w:hAnsi="Arial" w:cs="Arial"/>
          <w:sz w:val="24"/>
          <w:szCs w:val="24"/>
        </w:rPr>
        <w:t xml:space="preserve">. Minimally, a dichotomy of outcome probability should be observed between low and high values of the covariate. </w:t>
      </w:r>
      <w:r w:rsidRPr="444C7DF9">
        <w:rPr>
          <w:rFonts w:ascii="Arial" w:hAnsi="Arial" w:cs="Arial"/>
          <w:b/>
          <w:bCs/>
          <w:sz w:val="24"/>
          <w:szCs w:val="24"/>
        </w:rPr>
        <w:t>Supplementary</w:t>
      </w:r>
      <w:r w:rsidRPr="444C7DF9">
        <w:rPr>
          <w:rFonts w:ascii="Arial" w:hAnsi="Arial" w:cs="Arial"/>
          <w:sz w:val="24"/>
          <w:szCs w:val="24"/>
        </w:rPr>
        <w:t xml:space="preserve"> </w:t>
      </w:r>
      <w:r w:rsidRPr="444C7DF9">
        <w:rPr>
          <w:rFonts w:ascii="Arial" w:hAnsi="Arial" w:cs="Arial"/>
          <w:b/>
          <w:bCs/>
          <w:sz w:val="24"/>
          <w:szCs w:val="24"/>
        </w:rPr>
        <w:t>Figure 1</w:t>
      </w:r>
      <w:r w:rsidRPr="444C7DF9">
        <w:rPr>
          <w:rFonts w:ascii="Arial" w:hAnsi="Arial" w:cs="Arial"/>
          <w:sz w:val="24"/>
          <w:szCs w:val="24"/>
        </w:rPr>
        <w:t xml:space="preserve"> plots the proportion of patients experiencing the outcome (GG≥2 cancer) across incremental increases in MPS values in the primary cohort (n=422), ensuring reasonable sample size (n≥15) of subgroups. The monotonic relationship of MPS and GG≥2 cancer is apparent. Similarly, grouped data support that the proposed risk strata are numerically reasonable </w:t>
      </w:r>
      <w:r w:rsidR="007F1FBE" w:rsidRPr="444C7DF9">
        <w:rPr>
          <w:rFonts w:ascii="Arial" w:hAnsi="Arial" w:cs="Arial"/>
          <w:sz w:val="24"/>
          <w:szCs w:val="24"/>
        </w:rPr>
        <w:fldChar w:fldCharType="begin" w:fldLock="1"/>
      </w:r>
      <w:r w:rsidR="008E1A80">
        <w:rPr>
          <w:rFonts w:ascii="Arial" w:hAnsi="Arial" w:cs="Arial"/>
          <w:sz w:val="24"/>
          <w:szCs w:val="24"/>
        </w:rPr>
        <w:instrText>ADDIN CSL_CITATION {"citationItems":[{"id":"ITEM-1","itemData":{"author":[{"dropping-particle":"","family":"Williams","given":"Brent","non-dropping-particle":"","parse-names":false,"suffix":""},{"dropping-particle":"","family":"Mandrekar","given":"Jayawant","non-dropping-particle":"","parse-names":false,"suffix":""},{"dropping-particle":"","family":"Mandrekar","given":"Sumithra","non-dropping-particle":"","parse-names":false,"suffix":""},{"dropping-particle":"","family":"Cha","given":"Stephen","non-dropping-particle":"","parse-names":false,"suffix":""},{"dropping-particle":"","family":"Furth","given":"Alfred","non-dropping-particle":"","parse-names":false,"suffix":""}],"container-title":"Technical Report Series","id":"ITEM-1","issued":{"date-parts":[["2006"]]},"title":"Finding Optimal Cutpoints for Continuous Covariates with Binary and Time-to-Event Outcomes","type":"article-journal","volume":"79"},"uris":["http://www.mendeley.com/documents/?uuid=89faacd4-08b7-4aac-ad89-c1ec7335d599"]}],"mendeley":{"formattedCitation":"[6]","plainTextFormattedCitation":"[6]","previouslyFormattedCitation":"[5]"},"properties":{"noteIndex":0},"schema":"https://github.com/citation-style-language/schema/raw/master/csl-citation.json"}</w:instrText>
      </w:r>
      <w:r w:rsidR="007F1FBE" w:rsidRPr="444C7DF9">
        <w:rPr>
          <w:rFonts w:ascii="Arial" w:hAnsi="Arial" w:cs="Arial"/>
          <w:sz w:val="24"/>
          <w:szCs w:val="24"/>
        </w:rPr>
        <w:fldChar w:fldCharType="separate"/>
      </w:r>
      <w:r w:rsidR="008E1A80" w:rsidRPr="008E1A80">
        <w:rPr>
          <w:rFonts w:ascii="Arial" w:hAnsi="Arial" w:cs="Arial"/>
          <w:noProof/>
          <w:sz w:val="24"/>
          <w:szCs w:val="24"/>
        </w:rPr>
        <w:t>[6]</w:t>
      </w:r>
      <w:r w:rsidR="007F1FBE" w:rsidRPr="444C7DF9">
        <w:rPr>
          <w:rFonts w:ascii="Arial" w:hAnsi="Arial" w:cs="Arial"/>
          <w:sz w:val="24"/>
          <w:szCs w:val="24"/>
        </w:rPr>
        <w:fldChar w:fldCharType="end"/>
      </w:r>
      <w:r w:rsidRPr="444C7DF9">
        <w:rPr>
          <w:rFonts w:ascii="Arial" w:hAnsi="Arial" w:cs="Arial"/>
          <w:sz w:val="24"/>
          <w:szCs w:val="24"/>
        </w:rPr>
        <w:t xml:space="preserve">. </w:t>
      </w:r>
      <w:r w:rsidRPr="444C7DF9">
        <w:rPr>
          <w:rFonts w:ascii="Arial" w:hAnsi="Arial" w:cs="Arial"/>
          <w:b/>
          <w:bCs/>
          <w:sz w:val="24"/>
          <w:szCs w:val="24"/>
        </w:rPr>
        <w:t>Supplementary Table 1</w:t>
      </w:r>
      <w:r w:rsidRPr="444C7DF9">
        <w:rPr>
          <w:rFonts w:ascii="Arial" w:hAnsi="Arial" w:cs="Arial"/>
          <w:sz w:val="24"/>
          <w:szCs w:val="24"/>
        </w:rPr>
        <w:t xml:space="preserve"> lists the prevalence of GG≥2 cancer across MPS values. All MPS sub-categories 0-15 were associated with a prevalence of GG≥2 cancer ≤6.3%. Consistent with this, a maximum regression-based probability of GG≥2 cancer of 8.1% was observed at the MPS value of 15. By contrast, the prevalence of GG≥2 cancer exceeded 20% for all MPS sub-categories above 40. Consistent with this, the predicted probability of GG≥2 cancer exceeded 20% for all MPS values greater than 45, with a minimum probability of 17% at MPS = 40. Acknowledging the potential for categorization to over-simplify the underlying model, these data suggest that the proposed risk </w:t>
      </w:r>
      <w:r w:rsidRPr="444C7DF9">
        <w:rPr>
          <w:rFonts w:ascii="Arial" w:hAnsi="Arial" w:cs="Arial"/>
          <w:sz w:val="24"/>
          <w:szCs w:val="24"/>
        </w:rPr>
        <w:lastRenderedPageBreak/>
        <w:t xml:space="preserve">categories reasonably reflect the continuous risk model and are consistent with the clinical rationale described. </w:t>
      </w:r>
    </w:p>
    <w:p w14:paraId="41129F8E" w14:textId="77777777" w:rsidR="00342479" w:rsidRPr="007A7ABD" w:rsidRDefault="00342479">
      <w:pPr>
        <w:rPr>
          <w:rFonts w:ascii="Arial" w:hAnsi="Arial" w:cs="Arial"/>
          <w:sz w:val="24"/>
          <w:szCs w:val="24"/>
        </w:rPr>
      </w:pPr>
      <w:r w:rsidRPr="007A7ABD">
        <w:rPr>
          <w:rFonts w:ascii="Arial" w:hAnsi="Arial" w:cs="Arial"/>
          <w:sz w:val="24"/>
          <w:szCs w:val="24"/>
        </w:rPr>
        <w:br w:type="page"/>
      </w:r>
    </w:p>
    <w:p w14:paraId="11203C72" w14:textId="0F4CBE54" w:rsidR="00012A5E" w:rsidRPr="007A7ABD" w:rsidRDefault="007A7ABD" w:rsidP="00012A5E">
      <w:pPr>
        <w:rPr>
          <w:rFonts w:ascii="Arial" w:hAnsi="Arial" w:cs="Arial"/>
          <w:sz w:val="24"/>
          <w:szCs w:val="24"/>
        </w:rPr>
      </w:pPr>
      <w:r>
        <w:rPr>
          <w:rFonts w:ascii="Arial" w:hAnsi="Arial" w:cs="Arial"/>
          <w:b/>
          <w:bCs/>
          <w:sz w:val="24"/>
          <w:szCs w:val="24"/>
        </w:rPr>
        <w:lastRenderedPageBreak/>
        <w:t xml:space="preserve">Supplementary </w:t>
      </w:r>
      <w:r w:rsidR="00012A5E" w:rsidRPr="007A7ABD">
        <w:rPr>
          <w:rFonts w:ascii="Arial" w:hAnsi="Arial" w:cs="Arial"/>
          <w:b/>
          <w:bCs/>
          <w:sz w:val="24"/>
          <w:szCs w:val="24"/>
        </w:rPr>
        <w:t xml:space="preserve">Table </w:t>
      </w:r>
      <w:r w:rsidR="00657046" w:rsidRPr="007A7ABD">
        <w:rPr>
          <w:rFonts w:ascii="Arial" w:hAnsi="Arial" w:cs="Arial"/>
          <w:b/>
          <w:bCs/>
          <w:sz w:val="24"/>
          <w:szCs w:val="24"/>
        </w:rPr>
        <w:t>1</w:t>
      </w:r>
      <w:r w:rsidR="00012A5E" w:rsidRPr="007A7ABD">
        <w:rPr>
          <w:rFonts w:ascii="Arial" w:hAnsi="Arial" w:cs="Arial"/>
          <w:b/>
          <w:bCs/>
          <w:sz w:val="24"/>
          <w:szCs w:val="24"/>
        </w:rPr>
        <w:t>.</w:t>
      </w:r>
      <w:r w:rsidR="00012A5E" w:rsidRPr="007A7ABD">
        <w:rPr>
          <w:rFonts w:ascii="Arial" w:hAnsi="Arial" w:cs="Arial"/>
          <w:sz w:val="24"/>
          <w:szCs w:val="24"/>
        </w:rPr>
        <w:t xml:space="preserve"> Prevalence of GG≥2 cancer by increasing MPS</w:t>
      </w:r>
      <w:r w:rsidR="00966350" w:rsidRPr="007A7ABD">
        <w:rPr>
          <w:rFonts w:ascii="Arial" w:hAnsi="Arial" w:cs="Arial"/>
          <w:sz w:val="24"/>
          <w:szCs w:val="24"/>
        </w:rPr>
        <w:t xml:space="preserve"> values</w:t>
      </w:r>
    </w:p>
    <w:tbl>
      <w:tblPr>
        <w:tblStyle w:val="TableGrid"/>
        <w:tblW w:w="0" w:type="auto"/>
        <w:tblLook w:val="04A0" w:firstRow="1" w:lastRow="0" w:firstColumn="1" w:lastColumn="0" w:noHBand="0" w:noVBand="1"/>
      </w:tblPr>
      <w:tblGrid>
        <w:gridCol w:w="1345"/>
        <w:gridCol w:w="1890"/>
        <w:gridCol w:w="2160"/>
      </w:tblGrid>
      <w:tr w:rsidR="00012A5E" w:rsidRPr="007A7ABD" w14:paraId="0B8DF719"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1CBB9604" w14:textId="77777777" w:rsidR="00012A5E" w:rsidRPr="007A7ABD" w:rsidRDefault="00012A5E">
            <w:pPr>
              <w:rPr>
                <w:b/>
                <w:bCs/>
                <w:sz w:val="24"/>
              </w:rPr>
            </w:pPr>
            <w:r w:rsidRPr="007A7ABD">
              <w:rPr>
                <w:b/>
                <w:bCs/>
                <w:sz w:val="24"/>
              </w:rPr>
              <w:t>MPS</w:t>
            </w:r>
          </w:p>
        </w:tc>
        <w:tc>
          <w:tcPr>
            <w:tcW w:w="1890" w:type="dxa"/>
            <w:tcBorders>
              <w:top w:val="single" w:sz="4" w:space="0" w:color="auto"/>
              <w:left w:val="single" w:sz="4" w:space="0" w:color="auto"/>
              <w:bottom w:val="single" w:sz="4" w:space="0" w:color="auto"/>
              <w:right w:val="single" w:sz="4" w:space="0" w:color="auto"/>
            </w:tcBorders>
            <w:hideMark/>
          </w:tcPr>
          <w:p w14:paraId="6376DE8F" w14:textId="77777777" w:rsidR="00012A5E" w:rsidRPr="007A7ABD" w:rsidRDefault="00012A5E">
            <w:pPr>
              <w:jc w:val="center"/>
              <w:rPr>
                <w:b/>
                <w:bCs/>
                <w:sz w:val="24"/>
              </w:rPr>
            </w:pPr>
            <w:r w:rsidRPr="007A7ABD">
              <w:rPr>
                <w:b/>
                <w:bCs/>
                <w:sz w:val="24"/>
              </w:rPr>
              <w:t>N</w:t>
            </w:r>
          </w:p>
        </w:tc>
        <w:tc>
          <w:tcPr>
            <w:tcW w:w="2160" w:type="dxa"/>
            <w:tcBorders>
              <w:top w:val="single" w:sz="4" w:space="0" w:color="auto"/>
              <w:left w:val="single" w:sz="4" w:space="0" w:color="auto"/>
              <w:bottom w:val="single" w:sz="4" w:space="0" w:color="auto"/>
              <w:right w:val="single" w:sz="4" w:space="0" w:color="auto"/>
            </w:tcBorders>
            <w:hideMark/>
          </w:tcPr>
          <w:p w14:paraId="6244FC3F" w14:textId="77777777" w:rsidR="00012A5E" w:rsidRPr="007A7ABD" w:rsidRDefault="00012A5E">
            <w:pPr>
              <w:jc w:val="center"/>
              <w:rPr>
                <w:b/>
                <w:bCs/>
                <w:sz w:val="24"/>
              </w:rPr>
            </w:pPr>
            <w:r w:rsidRPr="007A7ABD">
              <w:rPr>
                <w:b/>
                <w:bCs/>
                <w:sz w:val="24"/>
              </w:rPr>
              <w:t>GG≥2</w:t>
            </w:r>
          </w:p>
        </w:tc>
      </w:tr>
      <w:tr w:rsidR="00012A5E" w:rsidRPr="007A7ABD" w14:paraId="7430E1F4"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604D375F" w14:textId="77777777" w:rsidR="00012A5E" w:rsidRPr="007A7ABD" w:rsidRDefault="00012A5E">
            <w:pPr>
              <w:rPr>
                <w:b/>
                <w:bCs/>
                <w:sz w:val="24"/>
              </w:rPr>
            </w:pPr>
            <w:r w:rsidRPr="007A7ABD">
              <w:rPr>
                <w:b/>
                <w:bCs/>
                <w:sz w:val="24"/>
              </w:rPr>
              <w:t>≤5</w:t>
            </w:r>
          </w:p>
        </w:tc>
        <w:tc>
          <w:tcPr>
            <w:tcW w:w="1890" w:type="dxa"/>
            <w:tcBorders>
              <w:top w:val="single" w:sz="4" w:space="0" w:color="auto"/>
              <w:left w:val="single" w:sz="4" w:space="0" w:color="auto"/>
              <w:bottom w:val="single" w:sz="4" w:space="0" w:color="auto"/>
              <w:right w:val="single" w:sz="4" w:space="0" w:color="auto"/>
            </w:tcBorders>
            <w:hideMark/>
          </w:tcPr>
          <w:p w14:paraId="0D5227AF" w14:textId="77777777" w:rsidR="00012A5E" w:rsidRPr="007A7ABD" w:rsidRDefault="00012A5E">
            <w:pPr>
              <w:jc w:val="center"/>
              <w:rPr>
                <w:sz w:val="24"/>
              </w:rPr>
            </w:pPr>
            <w:r w:rsidRPr="007A7ABD">
              <w:rPr>
                <w:sz w:val="24"/>
              </w:rPr>
              <w:t>18</w:t>
            </w:r>
          </w:p>
        </w:tc>
        <w:tc>
          <w:tcPr>
            <w:tcW w:w="2160" w:type="dxa"/>
            <w:tcBorders>
              <w:top w:val="single" w:sz="4" w:space="0" w:color="auto"/>
              <w:left w:val="single" w:sz="4" w:space="0" w:color="auto"/>
              <w:bottom w:val="single" w:sz="4" w:space="0" w:color="auto"/>
              <w:right w:val="single" w:sz="4" w:space="0" w:color="auto"/>
            </w:tcBorders>
            <w:hideMark/>
          </w:tcPr>
          <w:p w14:paraId="23C914D5" w14:textId="77777777" w:rsidR="00012A5E" w:rsidRPr="007A7ABD" w:rsidRDefault="00012A5E">
            <w:pPr>
              <w:jc w:val="center"/>
              <w:rPr>
                <w:sz w:val="24"/>
              </w:rPr>
            </w:pPr>
            <w:r w:rsidRPr="007A7ABD">
              <w:rPr>
                <w:sz w:val="24"/>
              </w:rPr>
              <w:t>0 (0%)</w:t>
            </w:r>
          </w:p>
        </w:tc>
      </w:tr>
      <w:tr w:rsidR="00012A5E" w:rsidRPr="007A7ABD" w14:paraId="05665BD9"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12593EC9" w14:textId="77777777" w:rsidR="00012A5E" w:rsidRPr="007A7ABD" w:rsidRDefault="00012A5E">
            <w:pPr>
              <w:rPr>
                <w:b/>
                <w:bCs/>
                <w:sz w:val="24"/>
              </w:rPr>
            </w:pPr>
            <w:r w:rsidRPr="007A7ABD">
              <w:rPr>
                <w:b/>
                <w:bCs/>
                <w:sz w:val="24"/>
              </w:rPr>
              <w:t>5-10</w:t>
            </w:r>
          </w:p>
        </w:tc>
        <w:tc>
          <w:tcPr>
            <w:tcW w:w="1890" w:type="dxa"/>
            <w:tcBorders>
              <w:top w:val="single" w:sz="4" w:space="0" w:color="auto"/>
              <w:left w:val="single" w:sz="4" w:space="0" w:color="auto"/>
              <w:bottom w:val="single" w:sz="4" w:space="0" w:color="auto"/>
              <w:right w:val="single" w:sz="4" w:space="0" w:color="auto"/>
            </w:tcBorders>
            <w:hideMark/>
          </w:tcPr>
          <w:p w14:paraId="04CA634A" w14:textId="77777777" w:rsidR="00012A5E" w:rsidRPr="007A7ABD" w:rsidRDefault="00012A5E">
            <w:pPr>
              <w:jc w:val="center"/>
              <w:rPr>
                <w:sz w:val="24"/>
              </w:rPr>
            </w:pPr>
            <w:r w:rsidRPr="007A7ABD">
              <w:rPr>
                <w:sz w:val="24"/>
              </w:rPr>
              <w:t>55</w:t>
            </w:r>
          </w:p>
        </w:tc>
        <w:tc>
          <w:tcPr>
            <w:tcW w:w="2160" w:type="dxa"/>
            <w:tcBorders>
              <w:top w:val="single" w:sz="4" w:space="0" w:color="auto"/>
              <w:left w:val="single" w:sz="4" w:space="0" w:color="auto"/>
              <w:bottom w:val="single" w:sz="4" w:space="0" w:color="auto"/>
              <w:right w:val="single" w:sz="4" w:space="0" w:color="auto"/>
            </w:tcBorders>
            <w:hideMark/>
          </w:tcPr>
          <w:p w14:paraId="634FBF2F" w14:textId="77777777" w:rsidR="00012A5E" w:rsidRPr="007A7ABD" w:rsidRDefault="00012A5E">
            <w:pPr>
              <w:jc w:val="center"/>
              <w:rPr>
                <w:sz w:val="24"/>
              </w:rPr>
            </w:pPr>
            <w:r w:rsidRPr="007A7ABD">
              <w:rPr>
                <w:sz w:val="24"/>
              </w:rPr>
              <w:t>3 (5.5%)</w:t>
            </w:r>
          </w:p>
        </w:tc>
      </w:tr>
      <w:tr w:rsidR="00012A5E" w:rsidRPr="007A7ABD" w14:paraId="7523F2E3"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42DE4B47" w14:textId="77777777" w:rsidR="00012A5E" w:rsidRPr="007A7ABD" w:rsidRDefault="00012A5E">
            <w:pPr>
              <w:rPr>
                <w:b/>
                <w:bCs/>
                <w:sz w:val="24"/>
              </w:rPr>
            </w:pPr>
            <w:r w:rsidRPr="007A7ABD">
              <w:rPr>
                <w:b/>
                <w:bCs/>
                <w:sz w:val="24"/>
              </w:rPr>
              <w:t>10-15</w:t>
            </w:r>
          </w:p>
        </w:tc>
        <w:tc>
          <w:tcPr>
            <w:tcW w:w="1890" w:type="dxa"/>
            <w:tcBorders>
              <w:top w:val="single" w:sz="4" w:space="0" w:color="auto"/>
              <w:left w:val="single" w:sz="4" w:space="0" w:color="auto"/>
              <w:bottom w:val="single" w:sz="4" w:space="0" w:color="auto"/>
              <w:right w:val="single" w:sz="4" w:space="0" w:color="auto"/>
            </w:tcBorders>
            <w:hideMark/>
          </w:tcPr>
          <w:p w14:paraId="64FACC84" w14:textId="77777777" w:rsidR="00012A5E" w:rsidRPr="007A7ABD" w:rsidRDefault="00012A5E">
            <w:pPr>
              <w:jc w:val="center"/>
              <w:rPr>
                <w:sz w:val="24"/>
              </w:rPr>
            </w:pPr>
            <w:r w:rsidRPr="007A7ABD">
              <w:rPr>
                <w:sz w:val="24"/>
              </w:rPr>
              <w:t>64</w:t>
            </w:r>
          </w:p>
        </w:tc>
        <w:tc>
          <w:tcPr>
            <w:tcW w:w="2160" w:type="dxa"/>
            <w:tcBorders>
              <w:top w:val="single" w:sz="4" w:space="0" w:color="auto"/>
              <w:left w:val="single" w:sz="4" w:space="0" w:color="auto"/>
              <w:bottom w:val="single" w:sz="4" w:space="0" w:color="auto"/>
              <w:right w:val="single" w:sz="4" w:space="0" w:color="auto"/>
            </w:tcBorders>
            <w:hideMark/>
          </w:tcPr>
          <w:p w14:paraId="0484C91C" w14:textId="77777777" w:rsidR="00012A5E" w:rsidRPr="007A7ABD" w:rsidRDefault="00012A5E">
            <w:pPr>
              <w:jc w:val="center"/>
              <w:rPr>
                <w:sz w:val="24"/>
              </w:rPr>
            </w:pPr>
            <w:r w:rsidRPr="007A7ABD">
              <w:rPr>
                <w:sz w:val="24"/>
              </w:rPr>
              <w:t>4 (6.3%)</w:t>
            </w:r>
          </w:p>
        </w:tc>
      </w:tr>
      <w:tr w:rsidR="00012A5E" w:rsidRPr="007A7ABD" w14:paraId="46EF14AE"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7F29E5BF" w14:textId="77777777" w:rsidR="00012A5E" w:rsidRPr="007A7ABD" w:rsidRDefault="00012A5E">
            <w:pPr>
              <w:rPr>
                <w:b/>
                <w:bCs/>
                <w:sz w:val="24"/>
              </w:rPr>
            </w:pPr>
            <w:r w:rsidRPr="007A7ABD">
              <w:rPr>
                <w:b/>
                <w:bCs/>
                <w:sz w:val="24"/>
              </w:rPr>
              <w:t>15-20</w:t>
            </w:r>
          </w:p>
        </w:tc>
        <w:tc>
          <w:tcPr>
            <w:tcW w:w="1890" w:type="dxa"/>
            <w:tcBorders>
              <w:top w:val="single" w:sz="4" w:space="0" w:color="auto"/>
              <w:left w:val="single" w:sz="4" w:space="0" w:color="auto"/>
              <w:bottom w:val="single" w:sz="4" w:space="0" w:color="auto"/>
              <w:right w:val="single" w:sz="4" w:space="0" w:color="auto"/>
            </w:tcBorders>
            <w:hideMark/>
          </w:tcPr>
          <w:p w14:paraId="055FD730" w14:textId="77777777" w:rsidR="00012A5E" w:rsidRPr="007A7ABD" w:rsidRDefault="00012A5E">
            <w:pPr>
              <w:jc w:val="center"/>
              <w:rPr>
                <w:sz w:val="24"/>
              </w:rPr>
            </w:pPr>
            <w:r w:rsidRPr="007A7ABD">
              <w:rPr>
                <w:sz w:val="24"/>
              </w:rPr>
              <w:t>50</w:t>
            </w:r>
          </w:p>
        </w:tc>
        <w:tc>
          <w:tcPr>
            <w:tcW w:w="2160" w:type="dxa"/>
            <w:tcBorders>
              <w:top w:val="single" w:sz="4" w:space="0" w:color="auto"/>
              <w:left w:val="single" w:sz="4" w:space="0" w:color="auto"/>
              <w:bottom w:val="single" w:sz="4" w:space="0" w:color="auto"/>
              <w:right w:val="single" w:sz="4" w:space="0" w:color="auto"/>
            </w:tcBorders>
            <w:hideMark/>
          </w:tcPr>
          <w:p w14:paraId="48CEF739" w14:textId="77777777" w:rsidR="00012A5E" w:rsidRPr="007A7ABD" w:rsidRDefault="00012A5E">
            <w:pPr>
              <w:jc w:val="center"/>
              <w:rPr>
                <w:sz w:val="24"/>
              </w:rPr>
            </w:pPr>
            <w:r w:rsidRPr="007A7ABD">
              <w:rPr>
                <w:sz w:val="24"/>
              </w:rPr>
              <w:t>5 (10%)</w:t>
            </w:r>
          </w:p>
        </w:tc>
      </w:tr>
      <w:tr w:rsidR="00012A5E" w:rsidRPr="007A7ABD" w14:paraId="55A4677D"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5CF94248" w14:textId="77777777" w:rsidR="00012A5E" w:rsidRPr="007A7ABD" w:rsidRDefault="00012A5E">
            <w:pPr>
              <w:rPr>
                <w:b/>
                <w:bCs/>
                <w:sz w:val="24"/>
              </w:rPr>
            </w:pPr>
            <w:r w:rsidRPr="007A7ABD">
              <w:rPr>
                <w:b/>
                <w:bCs/>
                <w:sz w:val="24"/>
              </w:rPr>
              <w:t>20-25</w:t>
            </w:r>
          </w:p>
        </w:tc>
        <w:tc>
          <w:tcPr>
            <w:tcW w:w="1890" w:type="dxa"/>
            <w:tcBorders>
              <w:top w:val="single" w:sz="4" w:space="0" w:color="auto"/>
              <w:left w:val="single" w:sz="4" w:space="0" w:color="auto"/>
              <w:bottom w:val="single" w:sz="4" w:space="0" w:color="auto"/>
              <w:right w:val="single" w:sz="4" w:space="0" w:color="auto"/>
            </w:tcBorders>
            <w:hideMark/>
          </w:tcPr>
          <w:p w14:paraId="6170B3A6" w14:textId="77777777" w:rsidR="00012A5E" w:rsidRPr="007A7ABD" w:rsidRDefault="00012A5E">
            <w:pPr>
              <w:jc w:val="center"/>
              <w:rPr>
                <w:sz w:val="24"/>
              </w:rPr>
            </w:pPr>
            <w:r w:rsidRPr="007A7ABD">
              <w:rPr>
                <w:sz w:val="24"/>
              </w:rPr>
              <w:t>40</w:t>
            </w:r>
          </w:p>
        </w:tc>
        <w:tc>
          <w:tcPr>
            <w:tcW w:w="2160" w:type="dxa"/>
            <w:tcBorders>
              <w:top w:val="single" w:sz="4" w:space="0" w:color="auto"/>
              <w:left w:val="single" w:sz="4" w:space="0" w:color="auto"/>
              <w:bottom w:val="single" w:sz="4" w:space="0" w:color="auto"/>
              <w:right w:val="single" w:sz="4" w:space="0" w:color="auto"/>
            </w:tcBorders>
            <w:hideMark/>
          </w:tcPr>
          <w:p w14:paraId="3BA8CBEF" w14:textId="77777777" w:rsidR="00012A5E" w:rsidRPr="007A7ABD" w:rsidRDefault="00012A5E">
            <w:pPr>
              <w:jc w:val="center"/>
              <w:rPr>
                <w:sz w:val="24"/>
              </w:rPr>
            </w:pPr>
            <w:r w:rsidRPr="007A7ABD">
              <w:rPr>
                <w:sz w:val="24"/>
              </w:rPr>
              <w:t>4 (10%)</w:t>
            </w:r>
          </w:p>
        </w:tc>
      </w:tr>
      <w:tr w:rsidR="00012A5E" w:rsidRPr="007A7ABD" w14:paraId="6C1992C9"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1F23142F" w14:textId="77777777" w:rsidR="00012A5E" w:rsidRPr="007A7ABD" w:rsidRDefault="00012A5E">
            <w:pPr>
              <w:rPr>
                <w:b/>
                <w:bCs/>
                <w:sz w:val="24"/>
              </w:rPr>
            </w:pPr>
            <w:r w:rsidRPr="007A7ABD">
              <w:rPr>
                <w:b/>
                <w:bCs/>
                <w:sz w:val="24"/>
              </w:rPr>
              <w:t>25-30</w:t>
            </w:r>
          </w:p>
        </w:tc>
        <w:tc>
          <w:tcPr>
            <w:tcW w:w="1890" w:type="dxa"/>
            <w:tcBorders>
              <w:top w:val="single" w:sz="4" w:space="0" w:color="auto"/>
              <w:left w:val="single" w:sz="4" w:space="0" w:color="auto"/>
              <w:bottom w:val="single" w:sz="4" w:space="0" w:color="auto"/>
              <w:right w:val="single" w:sz="4" w:space="0" w:color="auto"/>
            </w:tcBorders>
            <w:hideMark/>
          </w:tcPr>
          <w:p w14:paraId="1FCA0686" w14:textId="77777777" w:rsidR="00012A5E" w:rsidRPr="007A7ABD" w:rsidRDefault="00012A5E">
            <w:pPr>
              <w:jc w:val="center"/>
              <w:rPr>
                <w:sz w:val="24"/>
              </w:rPr>
            </w:pPr>
            <w:r w:rsidRPr="007A7ABD">
              <w:rPr>
                <w:sz w:val="24"/>
              </w:rPr>
              <w:t>40</w:t>
            </w:r>
          </w:p>
        </w:tc>
        <w:tc>
          <w:tcPr>
            <w:tcW w:w="2160" w:type="dxa"/>
            <w:tcBorders>
              <w:top w:val="single" w:sz="4" w:space="0" w:color="auto"/>
              <w:left w:val="single" w:sz="4" w:space="0" w:color="auto"/>
              <w:bottom w:val="single" w:sz="4" w:space="0" w:color="auto"/>
              <w:right w:val="single" w:sz="4" w:space="0" w:color="auto"/>
            </w:tcBorders>
            <w:hideMark/>
          </w:tcPr>
          <w:p w14:paraId="2469060B" w14:textId="77777777" w:rsidR="00012A5E" w:rsidRPr="007A7ABD" w:rsidRDefault="00012A5E">
            <w:pPr>
              <w:jc w:val="center"/>
              <w:rPr>
                <w:sz w:val="24"/>
              </w:rPr>
            </w:pPr>
            <w:r w:rsidRPr="007A7ABD">
              <w:rPr>
                <w:sz w:val="24"/>
              </w:rPr>
              <w:t>9 (18%)</w:t>
            </w:r>
          </w:p>
        </w:tc>
      </w:tr>
      <w:tr w:rsidR="00012A5E" w:rsidRPr="007A7ABD" w14:paraId="01730A19"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2C210B1A" w14:textId="77777777" w:rsidR="00012A5E" w:rsidRPr="007A7ABD" w:rsidRDefault="00012A5E">
            <w:pPr>
              <w:rPr>
                <w:b/>
                <w:bCs/>
                <w:sz w:val="24"/>
              </w:rPr>
            </w:pPr>
            <w:r w:rsidRPr="007A7ABD">
              <w:rPr>
                <w:b/>
                <w:bCs/>
                <w:sz w:val="24"/>
              </w:rPr>
              <w:t>30-35</w:t>
            </w:r>
          </w:p>
        </w:tc>
        <w:tc>
          <w:tcPr>
            <w:tcW w:w="1890" w:type="dxa"/>
            <w:tcBorders>
              <w:top w:val="single" w:sz="4" w:space="0" w:color="auto"/>
              <w:left w:val="single" w:sz="4" w:space="0" w:color="auto"/>
              <w:bottom w:val="single" w:sz="4" w:space="0" w:color="auto"/>
              <w:right w:val="single" w:sz="4" w:space="0" w:color="auto"/>
            </w:tcBorders>
            <w:hideMark/>
          </w:tcPr>
          <w:p w14:paraId="0AB3B572" w14:textId="77777777" w:rsidR="00012A5E" w:rsidRPr="007A7ABD" w:rsidRDefault="00012A5E">
            <w:pPr>
              <w:jc w:val="center"/>
              <w:rPr>
                <w:sz w:val="24"/>
              </w:rPr>
            </w:pPr>
            <w:r w:rsidRPr="007A7ABD">
              <w:rPr>
                <w:sz w:val="24"/>
              </w:rPr>
              <w:t>28</w:t>
            </w:r>
          </w:p>
        </w:tc>
        <w:tc>
          <w:tcPr>
            <w:tcW w:w="2160" w:type="dxa"/>
            <w:tcBorders>
              <w:top w:val="single" w:sz="4" w:space="0" w:color="auto"/>
              <w:left w:val="single" w:sz="4" w:space="0" w:color="auto"/>
              <w:bottom w:val="single" w:sz="4" w:space="0" w:color="auto"/>
              <w:right w:val="single" w:sz="4" w:space="0" w:color="auto"/>
            </w:tcBorders>
            <w:hideMark/>
          </w:tcPr>
          <w:p w14:paraId="2B449774" w14:textId="77777777" w:rsidR="00012A5E" w:rsidRPr="007A7ABD" w:rsidRDefault="00012A5E">
            <w:pPr>
              <w:jc w:val="center"/>
              <w:rPr>
                <w:sz w:val="24"/>
              </w:rPr>
            </w:pPr>
            <w:r w:rsidRPr="007A7ABD">
              <w:rPr>
                <w:sz w:val="24"/>
              </w:rPr>
              <w:t>3 (11%)</w:t>
            </w:r>
          </w:p>
        </w:tc>
      </w:tr>
      <w:tr w:rsidR="00012A5E" w:rsidRPr="007A7ABD" w14:paraId="10119743"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3557031A" w14:textId="77777777" w:rsidR="00012A5E" w:rsidRPr="007A7ABD" w:rsidRDefault="00012A5E">
            <w:pPr>
              <w:rPr>
                <w:b/>
                <w:bCs/>
                <w:sz w:val="24"/>
              </w:rPr>
            </w:pPr>
            <w:r w:rsidRPr="007A7ABD">
              <w:rPr>
                <w:b/>
                <w:bCs/>
                <w:sz w:val="24"/>
              </w:rPr>
              <w:t>35-40</w:t>
            </w:r>
          </w:p>
        </w:tc>
        <w:tc>
          <w:tcPr>
            <w:tcW w:w="1890" w:type="dxa"/>
            <w:tcBorders>
              <w:top w:val="single" w:sz="4" w:space="0" w:color="auto"/>
              <w:left w:val="single" w:sz="4" w:space="0" w:color="auto"/>
              <w:bottom w:val="single" w:sz="4" w:space="0" w:color="auto"/>
              <w:right w:val="single" w:sz="4" w:space="0" w:color="auto"/>
            </w:tcBorders>
            <w:hideMark/>
          </w:tcPr>
          <w:p w14:paraId="661EC1C1" w14:textId="77777777" w:rsidR="00012A5E" w:rsidRPr="007A7ABD" w:rsidRDefault="00012A5E">
            <w:pPr>
              <w:jc w:val="center"/>
              <w:rPr>
                <w:sz w:val="24"/>
              </w:rPr>
            </w:pPr>
            <w:r w:rsidRPr="007A7ABD">
              <w:rPr>
                <w:sz w:val="24"/>
              </w:rPr>
              <w:t>19</w:t>
            </w:r>
          </w:p>
        </w:tc>
        <w:tc>
          <w:tcPr>
            <w:tcW w:w="2160" w:type="dxa"/>
            <w:tcBorders>
              <w:top w:val="single" w:sz="4" w:space="0" w:color="auto"/>
              <w:left w:val="single" w:sz="4" w:space="0" w:color="auto"/>
              <w:bottom w:val="single" w:sz="4" w:space="0" w:color="auto"/>
              <w:right w:val="single" w:sz="4" w:space="0" w:color="auto"/>
            </w:tcBorders>
            <w:hideMark/>
          </w:tcPr>
          <w:p w14:paraId="44FBEF21" w14:textId="77777777" w:rsidR="00012A5E" w:rsidRPr="007A7ABD" w:rsidRDefault="00012A5E">
            <w:pPr>
              <w:jc w:val="center"/>
              <w:rPr>
                <w:sz w:val="24"/>
              </w:rPr>
            </w:pPr>
            <w:r w:rsidRPr="007A7ABD">
              <w:rPr>
                <w:sz w:val="24"/>
              </w:rPr>
              <w:t>3 (16%)</w:t>
            </w:r>
          </w:p>
        </w:tc>
      </w:tr>
      <w:tr w:rsidR="00012A5E" w:rsidRPr="007A7ABD" w14:paraId="5CA94D82"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0DE4A9C1" w14:textId="0FB29016" w:rsidR="00012A5E" w:rsidRPr="007A7ABD" w:rsidRDefault="00012A5E">
            <w:pPr>
              <w:rPr>
                <w:b/>
                <w:bCs/>
                <w:sz w:val="24"/>
              </w:rPr>
            </w:pPr>
            <w:r w:rsidRPr="007A7ABD">
              <w:rPr>
                <w:b/>
                <w:bCs/>
                <w:sz w:val="24"/>
              </w:rPr>
              <w:t>40-</w:t>
            </w:r>
            <w:r w:rsidR="00753F67" w:rsidRPr="007A7ABD">
              <w:rPr>
                <w:b/>
                <w:bCs/>
                <w:sz w:val="24"/>
              </w:rPr>
              <w:t>45</w:t>
            </w:r>
          </w:p>
        </w:tc>
        <w:tc>
          <w:tcPr>
            <w:tcW w:w="1890" w:type="dxa"/>
            <w:tcBorders>
              <w:top w:val="single" w:sz="4" w:space="0" w:color="auto"/>
              <w:left w:val="single" w:sz="4" w:space="0" w:color="auto"/>
              <w:bottom w:val="single" w:sz="4" w:space="0" w:color="auto"/>
              <w:right w:val="single" w:sz="4" w:space="0" w:color="auto"/>
            </w:tcBorders>
            <w:hideMark/>
          </w:tcPr>
          <w:p w14:paraId="1850FE5F" w14:textId="267E48E8" w:rsidR="00012A5E" w:rsidRPr="007A7ABD" w:rsidRDefault="00753F67">
            <w:pPr>
              <w:jc w:val="center"/>
              <w:rPr>
                <w:sz w:val="24"/>
              </w:rPr>
            </w:pPr>
            <w:r w:rsidRPr="007A7ABD">
              <w:rPr>
                <w:sz w:val="24"/>
              </w:rPr>
              <w:t>17</w:t>
            </w:r>
          </w:p>
        </w:tc>
        <w:tc>
          <w:tcPr>
            <w:tcW w:w="2160" w:type="dxa"/>
            <w:tcBorders>
              <w:top w:val="single" w:sz="4" w:space="0" w:color="auto"/>
              <w:left w:val="single" w:sz="4" w:space="0" w:color="auto"/>
              <w:bottom w:val="single" w:sz="4" w:space="0" w:color="auto"/>
              <w:right w:val="single" w:sz="4" w:space="0" w:color="auto"/>
            </w:tcBorders>
            <w:hideMark/>
          </w:tcPr>
          <w:p w14:paraId="763B5142" w14:textId="634E67A1" w:rsidR="00012A5E" w:rsidRPr="007A7ABD" w:rsidRDefault="00753F67">
            <w:pPr>
              <w:jc w:val="center"/>
              <w:rPr>
                <w:sz w:val="24"/>
              </w:rPr>
            </w:pPr>
            <w:r w:rsidRPr="007A7ABD">
              <w:rPr>
                <w:sz w:val="24"/>
              </w:rPr>
              <w:t>4 (24%)</w:t>
            </w:r>
          </w:p>
        </w:tc>
      </w:tr>
      <w:tr w:rsidR="00753F67" w:rsidRPr="007A7ABD" w14:paraId="04D69817" w14:textId="77777777" w:rsidTr="00012A5E">
        <w:tc>
          <w:tcPr>
            <w:tcW w:w="1345" w:type="dxa"/>
            <w:tcBorders>
              <w:top w:val="single" w:sz="4" w:space="0" w:color="auto"/>
              <w:left w:val="single" w:sz="4" w:space="0" w:color="auto"/>
              <w:bottom w:val="single" w:sz="4" w:space="0" w:color="auto"/>
              <w:right w:val="single" w:sz="4" w:space="0" w:color="auto"/>
            </w:tcBorders>
          </w:tcPr>
          <w:p w14:paraId="1FFC3ECE" w14:textId="4945F518" w:rsidR="00753F67" w:rsidRPr="007A7ABD" w:rsidRDefault="00753F67">
            <w:pPr>
              <w:rPr>
                <w:b/>
                <w:bCs/>
                <w:sz w:val="24"/>
              </w:rPr>
            </w:pPr>
            <w:r w:rsidRPr="007A7ABD">
              <w:rPr>
                <w:b/>
                <w:bCs/>
                <w:sz w:val="24"/>
              </w:rPr>
              <w:t>45-50</w:t>
            </w:r>
          </w:p>
        </w:tc>
        <w:tc>
          <w:tcPr>
            <w:tcW w:w="1890" w:type="dxa"/>
            <w:tcBorders>
              <w:top w:val="single" w:sz="4" w:space="0" w:color="auto"/>
              <w:left w:val="single" w:sz="4" w:space="0" w:color="auto"/>
              <w:bottom w:val="single" w:sz="4" w:space="0" w:color="auto"/>
              <w:right w:val="single" w:sz="4" w:space="0" w:color="auto"/>
            </w:tcBorders>
          </w:tcPr>
          <w:p w14:paraId="2B023059" w14:textId="2BD30FEF" w:rsidR="00753F67" w:rsidRPr="007A7ABD" w:rsidRDefault="00753F67">
            <w:pPr>
              <w:jc w:val="center"/>
              <w:rPr>
                <w:sz w:val="24"/>
              </w:rPr>
            </w:pPr>
            <w:r w:rsidRPr="007A7ABD">
              <w:rPr>
                <w:sz w:val="24"/>
              </w:rPr>
              <w:t>17</w:t>
            </w:r>
          </w:p>
        </w:tc>
        <w:tc>
          <w:tcPr>
            <w:tcW w:w="2160" w:type="dxa"/>
            <w:tcBorders>
              <w:top w:val="single" w:sz="4" w:space="0" w:color="auto"/>
              <w:left w:val="single" w:sz="4" w:space="0" w:color="auto"/>
              <w:bottom w:val="single" w:sz="4" w:space="0" w:color="auto"/>
              <w:right w:val="single" w:sz="4" w:space="0" w:color="auto"/>
            </w:tcBorders>
          </w:tcPr>
          <w:p w14:paraId="0E058546" w14:textId="79E9B7C2" w:rsidR="00753F67" w:rsidRPr="007A7ABD" w:rsidRDefault="00753F67">
            <w:pPr>
              <w:jc w:val="center"/>
              <w:rPr>
                <w:sz w:val="24"/>
              </w:rPr>
            </w:pPr>
            <w:r w:rsidRPr="007A7ABD">
              <w:rPr>
                <w:sz w:val="24"/>
              </w:rPr>
              <w:t>4 (24%)</w:t>
            </w:r>
          </w:p>
        </w:tc>
      </w:tr>
      <w:tr w:rsidR="00012A5E" w:rsidRPr="007A7ABD" w14:paraId="34C87EA7" w14:textId="77777777" w:rsidTr="00012A5E">
        <w:tc>
          <w:tcPr>
            <w:tcW w:w="1345" w:type="dxa"/>
            <w:tcBorders>
              <w:top w:val="single" w:sz="4" w:space="0" w:color="auto"/>
              <w:left w:val="single" w:sz="4" w:space="0" w:color="auto"/>
              <w:bottom w:val="single" w:sz="4" w:space="0" w:color="auto"/>
              <w:right w:val="single" w:sz="4" w:space="0" w:color="auto"/>
            </w:tcBorders>
            <w:hideMark/>
          </w:tcPr>
          <w:p w14:paraId="660F49DE" w14:textId="00DA72D8" w:rsidR="00012A5E" w:rsidRPr="007A7ABD" w:rsidRDefault="0064143B">
            <w:pPr>
              <w:rPr>
                <w:b/>
                <w:bCs/>
                <w:sz w:val="24"/>
              </w:rPr>
            </w:pPr>
            <w:r w:rsidRPr="007A7ABD">
              <w:rPr>
                <w:b/>
                <w:bCs/>
                <w:sz w:val="24"/>
              </w:rPr>
              <w:t>&gt;50</w:t>
            </w:r>
          </w:p>
        </w:tc>
        <w:tc>
          <w:tcPr>
            <w:tcW w:w="1890" w:type="dxa"/>
            <w:tcBorders>
              <w:top w:val="single" w:sz="4" w:space="0" w:color="auto"/>
              <w:left w:val="single" w:sz="4" w:space="0" w:color="auto"/>
              <w:bottom w:val="single" w:sz="4" w:space="0" w:color="auto"/>
              <w:right w:val="single" w:sz="4" w:space="0" w:color="auto"/>
            </w:tcBorders>
            <w:hideMark/>
          </w:tcPr>
          <w:p w14:paraId="7391BB16" w14:textId="3588528C" w:rsidR="00012A5E" w:rsidRPr="007A7ABD" w:rsidRDefault="0064143B">
            <w:pPr>
              <w:jc w:val="center"/>
              <w:rPr>
                <w:sz w:val="24"/>
              </w:rPr>
            </w:pPr>
            <w:r w:rsidRPr="007A7ABD">
              <w:rPr>
                <w:sz w:val="24"/>
              </w:rPr>
              <w:t>65</w:t>
            </w:r>
          </w:p>
        </w:tc>
        <w:tc>
          <w:tcPr>
            <w:tcW w:w="2160" w:type="dxa"/>
            <w:tcBorders>
              <w:top w:val="single" w:sz="4" w:space="0" w:color="auto"/>
              <w:left w:val="single" w:sz="4" w:space="0" w:color="auto"/>
              <w:bottom w:val="single" w:sz="4" w:space="0" w:color="auto"/>
              <w:right w:val="single" w:sz="4" w:space="0" w:color="auto"/>
            </w:tcBorders>
            <w:hideMark/>
          </w:tcPr>
          <w:p w14:paraId="38C33B58" w14:textId="2F998ED5" w:rsidR="00012A5E" w:rsidRPr="007A7ABD" w:rsidRDefault="0064143B">
            <w:pPr>
              <w:jc w:val="center"/>
              <w:rPr>
                <w:sz w:val="24"/>
              </w:rPr>
            </w:pPr>
            <w:r w:rsidRPr="007A7ABD">
              <w:rPr>
                <w:sz w:val="24"/>
              </w:rPr>
              <w:t>19</w:t>
            </w:r>
            <w:r w:rsidR="00012A5E" w:rsidRPr="007A7ABD">
              <w:rPr>
                <w:sz w:val="24"/>
              </w:rPr>
              <w:t xml:space="preserve"> (2</w:t>
            </w:r>
            <w:r w:rsidRPr="007A7ABD">
              <w:rPr>
                <w:sz w:val="24"/>
              </w:rPr>
              <w:t>9</w:t>
            </w:r>
            <w:r w:rsidR="00012A5E" w:rsidRPr="007A7ABD">
              <w:rPr>
                <w:sz w:val="24"/>
              </w:rPr>
              <w:t>%)</w:t>
            </w:r>
          </w:p>
        </w:tc>
      </w:tr>
    </w:tbl>
    <w:p w14:paraId="51AD6623" w14:textId="77777777" w:rsidR="00342479" w:rsidRPr="007A7ABD" w:rsidRDefault="00342479" w:rsidP="00012A5E">
      <w:pPr>
        <w:rPr>
          <w:rFonts w:ascii="Arial" w:hAnsi="Arial" w:cs="Arial"/>
          <w:b/>
          <w:bCs/>
          <w:sz w:val="24"/>
          <w:szCs w:val="24"/>
        </w:rPr>
      </w:pPr>
    </w:p>
    <w:p w14:paraId="4FDD6C5F" w14:textId="45AFB2DD" w:rsidR="0065260C" w:rsidRPr="007A7ABD" w:rsidRDefault="007A7ABD" w:rsidP="00012A5E">
      <w:pPr>
        <w:rPr>
          <w:rFonts w:ascii="Arial" w:hAnsi="Arial" w:cs="Arial"/>
          <w:sz w:val="24"/>
          <w:szCs w:val="24"/>
        </w:rPr>
      </w:pPr>
      <w:bookmarkStart w:id="0" w:name="_Hlk93844701"/>
      <w:r>
        <w:rPr>
          <w:rFonts w:ascii="Arial" w:hAnsi="Arial" w:cs="Arial"/>
          <w:b/>
          <w:bCs/>
          <w:sz w:val="24"/>
          <w:szCs w:val="24"/>
        </w:rPr>
        <w:t xml:space="preserve">Supplementary </w:t>
      </w:r>
      <w:r w:rsidR="00012A5E" w:rsidRPr="007A7ABD">
        <w:rPr>
          <w:rFonts w:ascii="Arial" w:hAnsi="Arial" w:cs="Arial"/>
          <w:b/>
          <w:bCs/>
          <w:sz w:val="24"/>
          <w:szCs w:val="24"/>
        </w:rPr>
        <w:t xml:space="preserve">Figure </w:t>
      </w:r>
      <w:r w:rsidR="00657046" w:rsidRPr="007A7ABD">
        <w:rPr>
          <w:rFonts w:ascii="Arial" w:hAnsi="Arial" w:cs="Arial"/>
          <w:b/>
          <w:bCs/>
          <w:sz w:val="24"/>
          <w:szCs w:val="24"/>
        </w:rPr>
        <w:t>1</w:t>
      </w:r>
      <w:r w:rsidR="00012A5E" w:rsidRPr="007A7ABD">
        <w:rPr>
          <w:rFonts w:ascii="Arial" w:hAnsi="Arial" w:cs="Arial"/>
          <w:b/>
          <w:bCs/>
          <w:sz w:val="24"/>
          <w:szCs w:val="24"/>
        </w:rPr>
        <w:t>.</w:t>
      </w:r>
      <w:r w:rsidR="00012A5E" w:rsidRPr="007A7ABD">
        <w:rPr>
          <w:rFonts w:ascii="Arial" w:hAnsi="Arial" w:cs="Arial"/>
          <w:sz w:val="24"/>
          <w:szCs w:val="24"/>
        </w:rPr>
        <w:t xml:space="preserve"> Observed prevalence of GG≥2 cancer </w:t>
      </w:r>
      <w:r w:rsidR="0065260C" w:rsidRPr="007A7ABD">
        <w:rPr>
          <w:rFonts w:ascii="Arial" w:hAnsi="Arial" w:cs="Arial"/>
          <w:sz w:val="24"/>
          <w:szCs w:val="24"/>
        </w:rPr>
        <w:t xml:space="preserve">on biopsy </w:t>
      </w:r>
      <w:r w:rsidR="00012A5E" w:rsidRPr="007A7ABD">
        <w:rPr>
          <w:rFonts w:ascii="Arial" w:hAnsi="Arial" w:cs="Arial"/>
          <w:sz w:val="24"/>
          <w:szCs w:val="24"/>
        </w:rPr>
        <w:t xml:space="preserve">by MPS </w:t>
      </w:r>
      <w:r w:rsidR="00753F67" w:rsidRPr="007A7ABD">
        <w:rPr>
          <w:rFonts w:ascii="Arial" w:hAnsi="Arial" w:cs="Arial"/>
          <w:sz w:val="24"/>
          <w:szCs w:val="24"/>
        </w:rPr>
        <w:t>Values</w:t>
      </w:r>
      <w:r>
        <w:rPr>
          <w:rFonts w:ascii="Arial" w:hAnsi="Arial" w:cs="Arial"/>
          <w:sz w:val="24"/>
          <w:szCs w:val="24"/>
        </w:rPr>
        <w:t>.</w:t>
      </w:r>
    </w:p>
    <w:p w14:paraId="0DE4FE31" w14:textId="508723C1" w:rsidR="0065260C" w:rsidRPr="007A7ABD" w:rsidRDefault="009D1EA0" w:rsidP="00012A5E">
      <w:pPr>
        <w:rPr>
          <w:rFonts w:ascii="Arial" w:hAnsi="Arial" w:cs="Arial"/>
          <w:sz w:val="24"/>
          <w:szCs w:val="24"/>
        </w:rPr>
      </w:pPr>
      <w:r w:rsidRPr="007A7ABD">
        <w:rPr>
          <w:rFonts w:ascii="Arial" w:hAnsi="Arial" w:cs="Arial"/>
          <w:noProof/>
          <w:sz w:val="24"/>
          <w:szCs w:val="24"/>
        </w:rPr>
        <w:drawing>
          <wp:inline distT="0" distB="0" distL="0" distR="0" wp14:anchorId="3B3E3B5B" wp14:editId="10420A05">
            <wp:extent cx="50292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679058AA" w14:textId="56A2FC23" w:rsidR="0065260C" w:rsidRPr="007A7ABD" w:rsidRDefault="007A7ABD" w:rsidP="00012A5E">
      <w:pPr>
        <w:rPr>
          <w:rFonts w:ascii="Arial" w:hAnsi="Arial" w:cs="Arial"/>
          <w:sz w:val="24"/>
          <w:szCs w:val="24"/>
        </w:rPr>
      </w:pPr>
      <w:r>
        <w:rPr>
          <w:rFonts w:ascii="Arial" w:hAnsi="Arial" w:cs="Arial"/>
          <w:sz w:val="24"/>
          <w:szCs w:val="24"/>
        </w:rPr>
        <w:t xml:space="preserve">Supplementary </w:t>
      </w:r>
      <w:r w:rsidR="0028325B" w:rsidRPr="007A7ABD">
        <w:rPr>
          <w:rFonts w:ascii="Arial" w:hAnsi="Arial" w:cs="Arial"/>
          <w:sz w:val="24"/>
          <w:szCs w:val="24"/>
        </w:rPr>
        <w:t>Figure 1</w:t>
      </w:r>
      <w:r>
        <w:rPr>
          <w:rFonts w:ascii="Arial" w:hAnsi="Arial" w:cs="Arial"/>
          <w:sz w:val="24"/>
          <w:szCs w:val="24"/>
        </w:rPr>
        <w:t xml:space="preserve"> Legend</w:t>
      </w:r>
      <w:r w:rsidR="0028325B" w:rsidRPr="007A7ABD">
        <w:rPr>
          <w:rFonts w:ascii="Arial" w:hAnsi="Arial" w:cs="Arial"/>
          <w:sz w:val="24"/>
          <w:szCs w:val="24"/>
        </w:rPr>
        <w:t>. Percentage of patients with GG</w:t>
      </w:r>
      <w:r>
        <w:rPr>
          <w:rFonts w:ascii="Arial" w:hAnsi="Arial" w:cs="Arial"/>
          <w:sz w:val="24"/>
          <w:szCs w:val="24"/>
        </w:rPr>
        <w:t>≥2</w:t>
      </w:r>
      <w:r w:rsidR="0028325B" w:rsidRPr="007A7ABD">
        <w:rPr>
          <w:rFonts w:ascii="Arial" w:hAnsi="Arial" w:cs="Arial"/>
          <w:sz w:val="24"/>
          <w:szCs w:val="24"/>
        </w:rPr>
        <w:t xml:space="preserve"> prostate cancer (Y-axis) within respective MPS ranges (X-axis). </w:t>
      </w:r>
      <w:r w:rsidR="00355994" w:rsidRPr="007A7ABD">
        <w:rPr>
          <w:rFonts w:ascii="Arial" w:hAnsi="Arial" w:cs="Arial"/>
          <w:sz w:val="24"/>
          <w:szCs w:val="24"/>
        </w:rPr>
        <w:t xml:space="preserve">Vertical lines represent </w:t>
      </w:r>
      <w:r w:rsidR="0028325B" w:rsidRPr="007A7ABD">
        <w:rPr>
          <w:rFonts w:ascii="Arial" w:hAnsi="Arial" w:cs="Arial"/>
          <w:sz w:val="24"/>
          <w:szCs w:val="24"/>
        </w:rPr>
        <w:t xml:space="preserve">discussed </w:t>
      </w:r>
      <w:r w:rsidR="00355994" w:rsidRPr="007A7ABD">
        <w:rPr>
          <w:rFonts w:ascii="Arial" w:hAnsi="Arial" w:cs="Arial"/>
          <w:sz w:val="24"/>
          <w:szCs w:val="24"/>
        </w:rPr>
        <w:t>threshold values of 15</w:t>
      </w:r>
      <w:r w:rsidR="0028325B" w:rsidRPr="007A7ABD">
        <w:rPr>
          <w:rFonts w:ascii="Arial" w:hAnsi="Arial" w:cs="Arial"/>
          <w:sz w:val="24"/>
          <w:szCs w:val="24"/>
        </w:rPr>
        <w:t xml:space="preserve"> and 40.</w:t>
      </w:r>
    </w:p>
    <w:bookmarkEnd w:id="0"/>
    <w:p w14:paraId="3203CA7A" w14:textId="77777777" w:rsidR="0065260C" w:rsidRPr="007A7ABD" w:rsidRDefault="0065260C" w:rsidP="00012A5E">
      <w:pPr>
        <w:rPr>
          <w:rFonts w:ascii="Arial" w:hAnsi="Arial" w:cs="Arial"/>
          <w:sz w:val="24"/>
          <w:szCs w:val="24"/>
        </w:rPr>
      </w:pPr>
    </w:p>
    <w:p w14:paraId="43526AFD" w14:textId="46414E8A" w:rsidR="00012A5E" w:rsidRPr="007A7ABD" w:rsidRDefault="00012A5E" w:rsidP="00012A5E">
      <w:pPr>
        <w:rPr>
          <w:rFonts w:ascii="Arial" w:hAnsi="Arial" w:cs="Arial"/>
          <w:sz w:val="24"/>
          <w:szCs w:val="24"/>
        </w:rPr>
      </w:pPr>
    </w:p>
    <w:p w14:paraId="55E1D0E7" w14:textId="77777777" w:rsidR="00012A5E" w:rsidRPr="007A7ABD" w:rsidRDefault="00012A5E" w:rsidP="00012A5E">
      <w:pPr>
        <w:spacing w:line="480" w:lineRule="auto"/>
        <w:rPr>
          <w:rFonts w:ascii="Arial" w:hAnsi="Arial" w:cs="Arial"/>
          <w:b/>
          <w:bCs/>
          <w:sz w:val="24"/>
          <w:szCs w:val="24"/>
        </w:rPr>
      </w:pPr>
    </w:p>
    <w:p w14:paraId="69C53422" w14:textId="05FEE864" w:rsidR="00012A5E" w:rsidRPr="007A7ABD" w:rsidRDefault="00012A5E" w:rsidP="00012A5E">
      <w:pPr>
        <w:spacing w:line="480" w:lineRule="auto"/>
        <w:rPr>
          <w:rFonts w:ascii="Arial" w:hAnsi="Arial" w:cs="Arial"/>
          <w:b/>
          <w:bCs/>
          <w:sz w:val="24"/>
          <w:szCs w:val="24"/>
        </w:rPr>
      </w:pPr>
      <w:r w:rsidRPr="007A7ABD">
        <w:rPr>
          <w:rFonts w:ascii="Arial" w:hAnsi="Arial" w:cs="Arial"/>
          <w:bCs/>
          <w:sz w:val="24"/>
          <w:szCs w:val="24"/>
        </w:rPr>
        <w:br w:type="page"/>
      </w:r>
    </w:p>
    <w:p w14:paraId="596543F1" w14:textId="7158C896" w:rsidR="00012A5E" w:rsidRPr="007A7ABD" w:rsidRDefault="00012A5E" w:rsidP="00012A5E">
      <w:pPr>
        <w:rPr>
          <w:rFonts w:ascii="Arial" w:hAnsi="Arial" w:cs="Arial"/>
          <w:sz w:val="24"/>
          <w:szCs w:val="24"/>
        </w:rPr>
      </w:pPr>
      <w:r w:rsidRPr="007A7ABD">
        <w:rPr>
          <w:rFonts w:ascii="Arial" w:hAnsi="Arial" w:cs="Arial"/>
          <w:sz w:val="24"/>
          <w:szCs w:val="24"/>
        </w:rPr>
        <w:lastRenderedPageBreak/>
        <w:t xml:space="preserve">REFERENCES </w:t>
      </w:r>
    </w:p>
    <w:p w14:paraId="0D1294C7" w14:textId="5070BF6A" w:rsidR="008E1A80" w:rsidRPr="008E1A80" w:rsidRDefault="00012A5E" w:rsidP="008E1A80">
      <w:pPr>
        <w:widowControl w:val="0"/>
        <w:autoSpaceDE w:val="0"/>
        <w:autoSpaceDN w:val="0"/>
        <w:adjustRightInd w:val="0"/>
        <w:spacing w:line="240" w:lineRule="auto"/>
        <w:ind w:left="640" w:hanging="640"/>
        <w:rPr>
          <w:rFonts w:ascii="Arial" w:hAnsi="Arial" w:cs="Arial"/>
          <w:noProof/>
          <w:sz w:val="24"/>
          <w:szCs w:val="24"/>
        </w:rPr>
      </w:pPr>
      <w:r w:rsidRPr="007A7ABD">
        <w:rPr>
          <w:rFonts w:ascii="Arial" w:hAnsi="Arial" w:cs="Arial"/>
          <w:sz w:val="24"/>
          <w:szCs w:val="24"/>
        </w:rPr>
        <w:fldChar w:fldCharType="begin" w:fldLock="1"/>
      </w:r>
      <w:r w:rsidRPr="007A7ABD">
        <w:rPr>
          <w:rFonts w:ascii="Arial" w:hAnsi="Arial" w:cs="Arial"/>
          <w:sz w:val="24"/>
          <w:szCs w:val="24"/>
        </w:rPr>
        <w:instrText xml:space="preserve">ADDIN Mendeley Bibliography CSL_BIBLIOGRAPHY </w:instrText>
      </w:r>
      <w:r w:rsidRPr="007A7ABD">
        <w:rPr>
          <w:rFonts w:ascii="Arial" w:hAnsi="Arial" w:cs="Arial"/>
          <w:sz w:val="24"/>
          <w:szCs w:val="24"/>
        </w:rPr>
        <w:fldChar w:fldCharType="separate"/>
      </w:r>
      <w:r w:rsidR="008E1A80" w:rsidRPr="008E1A80">
        <w:rPr>
          <w:rFonts w:ascii="Arial" w:hAnsi="Arial" w:cs="Arial"/>
          <w:noProof/>
          <w:sz w:val="24"/>
          <w:szCs w:val="24"/>
        </w:rPr>
        <w:t xml:space="preserve">1. </w:t>
      </w:r>
      <w:r w:rsidR="008E1A80" w:rsidRPr="008E1A80">
        <w:rPr>
          <w:rFonts w:ascii="Arial" w:hAnsi="Arial" w:cs="Arial"/>
          <w:noProof/>
          <w:sz w:val="24"/>
          <w:szCs w:val="24"/>
        </w:rPr>
        <w:tab/>
        <w:t xml:space="preserve">Tomlins SA, Day JR, Lonigro RJ, Hovelson DH, Siddiqui J, Kunju LP, et al. Urine TMPRSS2:ERG Plus PCA3 for Individualized Prostate Cancer Risk Assessment. Eur Urol. 2016 Jul;70(1):45–53. </w:t>
      </w:r>
    </w:p>
    <w:p w14:paraId="1CE2559C" w14:textId="77777777" w:rsidR="008E1A80" w:rsidRPr="008E1A80" w:rsidRDefault="008E1A80" w:rsidP="008E1A80">
      <w:pPr>
        <w:widowControl w:val="0"/>
        <w:autoSpaceDE w:val="0"/>
        <w:autoSpaceDN w:val="0"/>
        <w:adjustRightInd w:val="0"/>
        <w:spacing w:line="240" w:lineRule="auto"/>
        <w:ind w:left="640" w:hanging="640"/>
        <w:rPr>
          <w:rFonts w:ascii="Arial" w:hAnsi="Arial" w:cs="Arial"/>
          <w:noProof/>
          <w:sz w:val="24"/>
          <w:szCs w:val="24"/>
        </w:rPr>
      </w:pPr>
      <w:r w:rsidRPr="008E1A80">
        <w:rPr>
          <w:rFonts w:ascii="Arial" w:hAnsi="Arial" w:cs="Arial"/>
          <w:noProof/>
          <w:sz w:val="24"/>
          <w:szCs w:val="24"/>
        </w:rPr>
        <w:t xml:space="preserve">2. </w:t>
      </w:r>
      <w:r w:rsidRPr="008E1A80">
        <w:rPr>
          <w:rFonts w:ascii="Arial" w:hAnsi="Arial" w:cs="Arial"/>
          <w:noProof/>
          <w:sz w:val="24"/>
          <w:szCs w:val="24"/>
        </w:rPr>
        <w:tab/>
        <w:t xml:space="preserve">Florkowski CM. Sensitivity, specificity, receiver-operating characteristic (ROC) curves and  likelihood ratios: communicating the performance of diagnostic tests. Clin Biochem Rev. 2008 Aug;29 Suppl 1(Suppl 1):S83-7. </w:t>
      </w:r>
    </w:p>
    <w:p w14:paraId="31FB07CE" w14:textId="77777777" w:rsidR="008E1A80" w:rsidRPr="008E1A80" w:rsidRDefault="008E1A80" w:rsidP="008E1A80">
      <w:pPr>
        <w:widowControl w:val="0"/>
        <w:autoSpaceDE w:val="0"/>
        <w:autoSpaceDN w:val="0"/>
        <w:adjustRightInd w:val="0"/>
        <w:spacing w:line="240" w:lineRule="auto"/>
        <w:ind w:left="640" w:hanging="640"/>
        <w:rPr>
          <w:rFonts w:ascii="Arial" w:hAnsi="Arial" w:cs="Arial"/>
          <w:noProof/>
          <w:sz w:val="24"/>
          <w:szCs w:val="24"/>
        </w:rPr>
      </w:pPr>
      <w:r w:rsidRPr="008E1A80">
        <w:rPr>
          <w:rFonts w:ascii="Arial" w:hAnsi="Arial" w:cs="Arial"/>
          <w:noProof/>
          <w:sz w:val="24"/>
          <w:szCs w:val="24"/>
        </w:rPr>
        <w:t xml:space="preserve">3. </w:t>
      </w:r>
      <w:r w:rsidRPr="008E1A80">
        <w:rPr>
          <w:rFonts w:ascii="Arial" w:hAnsi="Arial" w:cs="Arial"/>
          <w:noProof/>
          <w:sz w:val="24"/>
          <w:szCs w:val="24"/>
        </w:rPr>
        <w:tab/>
        <w:t xml:space="preserve">Tosoian JJ, Ross AE, Sokoll LJ, Partin AW, Pavlovich CP. Urinary Biomarkers for Prostate Cancer. Urol Clin North Am. 2016 Feb;43(1):17–38. </w:t>
      </w:r>
    </w:p>
    <w:p w14:paraId="06674447" w14:textId="77777777" w:rsidR="008E1A80" w:rsidRPr="008E1A80" w:rsidRDefault="008E1A80" w:rsidP="008E1A80">
      <w:pPr>
        <w:widowControl w:val="0"/>
        <w:autoSpaceDE w:val="0"/>
        <w:autoSpaceDN w:val="0"/>
        <w:adjustRightInd w:val="0"/>
        <w:spacing w:line="240" w:lineRule="auto"/>
        <w:ind w:left="640" w:hanging="640"/>
        <w:rPr>
          <w:rFonts w:ascii="Arial" w:hAnsi="Arial" w:cs="Arial"/>
          <w:noProof/>
          <w:sz w:val="24"/>
          <w:szCs w:val="24"/>
        </w:rPr>
      </w:pPr>
      <w:r w:rsidRPr="008E1A80">
        <w:rPr>
          <w:rFonts w:ascii="Arial" w:hAnsi="Arial" w:cs="Arial"/>
          <w:noProof/>
          <w:sz w:val="24"/>
          <w:szCs w:val="24"/>
        </w:rPr>
        <w:t xml:space="preserve">4. </w:t>
      </w:r>
      <w:r w:rsidRPr="008E1A80">
        <w:rPr>
          <w:rFonts w:ascii="Arial" w:hAnsi="Arial" w:cs="Arial"/>
          <w:noProof/>
          <w:sz w:val="24"/>
          <w:szCs w:val="24"/>
        </w:rPr>
        <w:tab/>
        <w:t xml:space="preserve">Assel M, Sjoberg D, Elders A, Wang X, Huo D, Botchway A, et al. Guidelines for Reporting of Statistics for Clinical Research in Urology. Vol. 75, European urology. 2019. p. 358–67. </w:t>
      </w:r>
    </w:p>
    <w:p w14:paraId="42B3147C" w14:textId="77777777" w:rsidR="008E1A80" w:rsidRPr="008E1A80" w:rsidRDefault="008E1A80" w:rsidP="008E1A80">
      <w:pPr>
        <w:widowControl w:val="0"/>
        <w:autoSpaceDE w:val="0"/>
        <w:autoSpaceDN w:val="0"/>
        <w:adjustRightInd w:val="0"/>
        <w:spacing w:line="240" w:lineRule="auto"/>
        <w:ind w:left="640" w:hanging="640"/>
        <w:rPr>
          <w:rFonts w:ascii="Arial" w:hAnsi="Arial" w:cs="Arial"/>
          <w:noProof/>
          <w:sz w:val="24"/>
          <w:szCs w:val="24"/>
        </w:rPr>
      </w:pPr>
      <w:r w:rsidRPr="008E1A80">
        <w:rPr>
          <w:rFonts w:ascii="Arial" w:hAnsi="Arial" w:cs="Arial"/>
          <w:noProof/>
          <w:sz w:val="24"/>
          <w:szCs w:val="24"/>
        </w:rPr>
        <w:t xml:space="preserve">5. </w:t>
      </w:r>
      <w:r w:rsidRPr="008E1A80">
        <w:rPr>
          <w:rFonts w:ascii="Arial" w:hAnsi="Arial" w:cs="Arial"/>
          <w:noProof/>
          <w:sz w:val="24"/>
          <w:szCs w:val="24"/>
        </w:rPr>
        <w:tab/>
        <w:t xml:space="preserve">Tosoian JJ, Trock BJ, Morgan TM, Salami SS, Tomlins SA, Spratt DE, et al. Use of the MyProstateScore Test to Rule Out Clinically Significant Cancer:  Validation of a Straightforward Clinical Testing Approach. J Urol. 2021 Mar;205(3):732–9. </w:t>
      </w:r>
    </w:p>
    <w:p w14:paraId="6B25B7D4" w14:textId="77777777" w:rsidR="008E1A80" w:rsidRPr="008E1A80" w:rsidRDefault="008E1A80" w:rsidP="008E1A80">
      <w:pPr>
        <w:widowControl w:val="0"/>
        <w:autoSpaceDE w:val="0"/>
        <w:autoSpaceDN w:val="0"/>
        <w:adjustRightInd w:val="0"/>
        <w:spacing w:line="240" w:lineRule="auto"/>
        <w:ind w:left="640" w:hanging="640"/>
        <w:rPr>
          <w:rFonts w:ascii="Arial" w:hAnsi="Arial" w:cs="Arial"/>
          <w:noProof/>
          <w:sz w:val="24"/>
        </w:rPr>
      </w:pPr>
      <w:r w:rsidRPr="008E1A80">
        <w:rPr>
          <w:rFonts w:ascii="Arial" w:hAnsi="Arial" w:cs="Arial"/>
          <w:noProof/>
          <w:sz w:val="24"/>
          <w:szCs w:val="24"/>
        </w:rPr>
        <w:t xml:space="preserve">6. </w:t>
      </w:r>
      <w:r w:rsidRPr="008E1A80">
        <w:rPr>
          <w:rFonts w:ascii="Arial" w:hAnsi="Arial" w:cs="Arial"/>
          <w:noProof/>
          <w:sz w:val="24"/>
          <w:szCs w:val="24"/>
        </w:rPr>
        <w:tab/>
        <w:t xml:space="preserve">Williams B, Mandrekar J, Mandrekar S, Cha S, Furth A. Finding Optimal Cutpoints for Continuous Covariates with Binary and Time-to-Event Outcomes. Tech Rep Ser. 2006;79. </w:t>
      </w:r>
    </w:p>
    <w:p w14:paraId="3ACF8D8F" w14:textId="77777777" w:rsidR="00012A5E" w:rsidRPr="007A7ABD" w:rsidRDefault="00012A5E" w:rsidP="00012A5E">
      <w:pPr>
        <w:widowControl w:val="0"/>
        <w:autoSpaceDE w:val="0"/>
        <w:autoSpaceDN w:val="0"/>
        <w:adjustRightInd w:val="0"/>
        <w:rPr>
          <w:rFonts w:ascii="Arial" w:hAnsi="Arial" w:cs="Arial"/>
          <w:sz w:val="24"/>
          <w:szCs w:val="24"/>
        </w:rPr>
      </w:pPr>
      <w:r w:rsidRPr="007A7ABD">
        <w:rPr>
          <w:rFonts w:ascii="Arial" w:hAnsi="Arial" w:cs="Arial"/>
          <w:sz w:val="24"/>
          <w:szCs w:val="24"/>
        </w:rPr>
        <w:fldChar w:fldCharType="end"/>
      </w:r>
    </w:p>
    <w:p w14:paraId="5FFE9DE7" w14:textId="05037A7C" w:rsidR="00F854E8" w:rsidRPr="007A7ABD" w:rsidRDefault="00F854E8" w:rsidP="00012A5E">
      <w:pPr>
        <w:rPr>
          <w:rFonts w:ascii="Arial" w:hAnsi="Arial" w:cs="Arial"/>
          <w:sz w:val="24"/>
          <w:szCs w:val="24"/>
        </w:rPr>
      </w:pPr>
    </w:p>
    <w:sectPr w:rsidR="00F854E8" w:rsidRPr="007A7ABD" w:rsidSect="0060220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288"/>
    <w:rsid w:val="00004680"/>
    <w:rsid w:val="00010E92"/>
    <w:rsid w:val="00012A5E"/>
    <w:rsid w:val="0002633D"/>
    <w:rsid w:val="000C77A2"/>
    <w:rsid w:val="000C7F05"/>
    <w:rsid w:val="00101F61"/>
    <w:rsid w:val="001055EC"/>
    <w:rsid w:val="00172339"/>
    <w:rsid w:val="00194684"/>
    <w:rsid w:val="001E034E"/>
    <w:rsid w:val="0028325B"/>
    <w:rsid w:val="002A1573"/>
    <w:rsid w:val="002B165D"/>
    <w:rsid w:val="002D5E9C"/>
    <w:rsid w:val="00334572"/>
    <w:rsid w:val="0034142F"/>
    <w:rsid w:val="00342479"/>
    <w:rsid w:val="00355994"/>
    <w:rsid w:val="003B55F3"/>
    <w:rsid w:val="003E5077"/>
    <w:rsid w:val="003F3EAF"/>
    <w:rsid w:val="004D2581"/>
    <w:rsid w:val="004D2D3E"/>
    <w:rsid w:val="004F24A6"/>
    <w:rsid w:val="004F46E7"/>
    <w:rsid w:val="00582CD9"/>
    <w:rsid w:val="005C242B"/>
    <w:rsid w:val="005C504F"/>
    <w:rsid w:val="0064143B"/>
    <w:rsid w:val="0065260C"/>
    <w:rsid w:val="00654126"/>
    <w:rsid w:val="00657046"/>
    <w:rsid w:val="00674C82"/>
    <w:rsid w:val="006A4C01"/>
    <w:rsid w:val="006B5811"/>
    <w:rsid w:val="006C4312"/>
    <w:rsid w:val="00753F67"/>
    <w:rsid w:val="007A7ABD"/>
    <w:rsid w:val="007E150E"/>
    <w:rsid w:val="007F1FBE"/>
    <w:rsid w:val="00840C68"/>
    <w:rsid w:val="00887E38"/>
    <w:rsid w:val="00896DAC"/>
    <w:rsid w:val="008E1A80"/>
    <w:rsid w:val="00966350"/>
    <w:rsid w:val="00994C20"/>
    <w:rsid w:val="009B2BAB"/>
    <w:rsid w:val="009C1E3B"/>
    <w:rsid w:val="009D1EA0"/>
    <w:rsid w:val="00A25288"/>
    <w:rsid w:val="00A3777B"/>
    <w:rsid w:val="00A82DCA"/>
    <w:rsid w:val="00AB7F95"/>
    <w:rsid w:val="00AE0290"/>
    <w:rsid w:val="00C0092C"/>
    <w:rsid w:val="00C13F82"/>
    <w:rsid w:val="00C419EF"/>
    <w:rsid w:val="00D060D5"/>
    <w:rsid w:val="00DC1312"/>
    <w:rsid w:val="00E01B11"/>
    <w:rsid w:val="00EA2E65"/>
    <w:rsid w:val="00ED1F1F"/>
    <w:rsid w:val="00EF70E4"/>
    <w:rsid w:val="00F03565"/>
    <w:rsid w:val="00F07C58"/>
    <w:rsid w:val="00F16E8D"/>
    <w:rsid w:val="00F24EB8"/>
    <w:rsid w:val="00F524E1"/>
    <w:rsid w:val="00F854E8"/>
    <w:rsid w:val="00FE2D05"/>
    <w:rsid w:val="444C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670A0"/>
  <w15:chartTrackingRefBased/>
  <w15:docId w15:val="{E0BF6DB2-4B5C-4C9D-80A0-80237331B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12A5E"/>
    <w:pPr>
      <w:spacing w:after="0" w:line="240" w:lineRule="auto"/>
    </w:pPr>
    <w:rPr>
      <w:rFonts w:ascii="Arial" w:hAnsi="Arial"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9735696">
      <w:bodyDiv w:val="1"/>
      <w:marLeft w:val="0"/>
      <w:marRight w:val="0"/>
      <w:marTop w:val="0"/>
      <w:marBottom w:val="0"/>
      <w:divBdr>
        <w:top w:val="none" w:sz="0" w:space="0" w:color="auto"/>
        <w:left w:val="none" w:sz="0" w:space="0" w:color="auto"/>
        <w:bottom w:val="none" w:sz="0" w:space="0" w:color="auto"/>
        <w:right w:val="none" w:sz="0" w:space="0" w:color="auto"/>
      </w:divBdr>
    </w:div>
    <w:div w:id="896546200">
      <w:bodyDiv w:val="1"/>
      <w:marLeft w:val="0"/>
      <w:marRight w:val="0"/>
      <w:marTop w:val="0"/>
      <w:marBottom w:val="0"/>
      <w:divBdr>
        <w:top w:val="none" w:sz="0" w:space="0" w:color="auto"/>
        <w:left w:val="none" w:sz="0" w:space="0" w:color="auto"/>
        <w:bottom w:val="none" w:sz="0" w:space="0" w:color="auto"/>
        <w:right w:val="none" w:sz="0" w:space="0" w:color="auto"/>
      </w:divBdr>
    </w:div>
    <w:div w:id="962998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954F8-8FEC-F548-95D1-70F43FE5E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3725</Words>
  <Characters>21234</Characters>
  <Application>Microsoft Office Word</Application>
  <DocSecurity>0</DocSecurity>
  <Lines>176</Lines>
  <Paragraphs>49</Paragraphs>
  <ScaleCrop>false</ScaleCrop>
  <Company/>
  <LinksUpToDate>false</LinksUpToDate>
  <CharactersWithSpaces>24910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sessinemichael@gmail.com</dc:creator>
  <cp:keywords/>
  <dc:description/>
  <cp:lastModifiedBy>sessinemichael@gmail.com</cp:lastModifiedBy>
  <cp:revision>3</cp:revision>
  <dcterms:created xsi:type="dcterms:W3CDTF">2022-06-03T17:30:00Z</dcterms:created>
  <dcterms:modified xsi:type="dcterms:W3CDTF">2022-06-04T14:12:00Z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http://csl.mendeley.com/styles/536851641/vancouver-2-PCPD</vt:lpwstr>
  </property>
  <property fmtid="{D5CDD505-2E9C-101B-9397-08002B2CF9AE}" pid="4" name="Mendeley Unique User Id_1">
    <vt:lpwstr>3c192945-ad35-331d-b743-875646551784</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http://csl.mendeley.com/styles/536851641/vancouver-2-PCPD</vt:lpwstr>
  </property>
  <property fmtid="{D5CDD505-2E9C-101B-9397-08002B2CF9AE}" pid="24" name="Mendeley Recent Style Name 9_1">
    <vt:lpwstr>Vancouver - Michael Sessine</vt:lpwstr>
  </property>
</Properties>
</file>