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61FCC" w14:textId="38EFEA7E" w:rsidR="00837B9D" w:rsidRDefault="00642234">
      <w:r>
        <w:t>Urban Zoo papers</w:t>
      </w:r>
    </w:p>
    <w:p w14:paraId="6703A555" w14:textId="11EAAB9D" w:rsidR="00642234" w:rsidRDefault="00642234"/>
    <w:p w14:paraId="563A6719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Murungi, M.K., Muloi, D.M., Muinde, P., Githigia, S., Akoko, J.M., </w:t>
      </w:r>
      <w:r w:rsidRPr="0064223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Fèvre, E.M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., Rushton, J. and Alarcon, P. (2021). The Nairobi pork value chain: mapping and assessment of governance, challenges, and food safety issues. 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Frontiers in Veterinary Science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8:581376. </w:t>
      </w:r>
      <w:hyperlink r:id="rId4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https://doi.org/10.3389/fvets.2021.581376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1991FF94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11068DE9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Hassell, J.M., Bettridge,  J.M., Ward, M.J., Ogendo, A., Imboma, T., Muloi, D., Fava, F., Robinson, T.P., Begon, M., </w:t>
      </w:r>
      <w:r w:rsidRPr="0064223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(2020). Socio</w:t>
      </w:r>
      <w:r w:rsidRPr="00642234">
        <w:rPr>
          <w:rFonts w:ascii="Cambria Math" w:eastAsia="Times New Roman" w:hAnsi="Cambria Math" w:cs="Times New Roman"/>
          <w:sz w:val="20"/>
          <w:szCs w:val="20"/>
          <w:lang w:eastAsia="en-GB"/>
        </w:rPr>
        <w:t>‐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>ecological drivers of vertebrate biodiversity and human</w:t>
      </w:r>
      <w:r w:rsidRPr="00642234">
        <w:rPr>
          <w:rFonts w:ascii="Times New Roman" w:eastAsia="Times New Roman" w:hAnsi="Times New Roman" w:cs="Times New Roman"/>
          <w:sz w:val="20"/>
          <w:szCs w:val="20"/>
          <w:lang w:eastAsia="en-GB"/>
        </w:rPr>
        <w:t>‐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animal interfaces across an urban landscape. 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Global Change Biology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hyperlink r:id="rId5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http://dx.doi.org/10.1111/gcb.15412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37EDF83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5518372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Hassell, J.M., Zimmerman, D., </w:t>
      </w:r>
      <w:r w:rsidRPr="0064223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Fèvre, E.M.,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Zinsstag, J., Bukachi, S., Barry, M., Muturi, M., Bett, B., Jensen, N., Ali, S., Maples, S., Rushton, J., Tschopp, R., Madaine, Y.O., Abtidon, R.A., Wild, H. (2020).  Africa’s nomadic pastoralists and their animals are an invisible frontier in pandemic surveillance.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American Journal of Tropical Medicine and Hygiene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 </w:t>
      </w:r>
      <w:hyperlink r:id="rId6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https://doi.org/10.4269/ajtmh.20-1004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32CAAF8" w14:textId="77777777" w:rsidR="00642234" w:rsidRPr="00642234" w:rsidRDefault="00642234" w:rsidP="006422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3A7BDFD" w14:textId="77777777" w:rsidR="00642234" w:rsidRPr="00642234" w:rsidRDefault="00642234" w:rsidP="006422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Kiambi, S.G., Onono, J.O., Kang’ethe, E., Aboge, G.O., Murungi, M.K., Muinde, P., Akoko, J., Momanyi, K., Rusthon, J., </w:t>
      </w:r>
      <w:r w:rsidRPr="0064223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Alarcon, P.L. (2020). Investigation of the governance structure of Nairobi dairy value chain and its influence on food safety. 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Preventative Veterinary Medicine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179, 105009. </w:t>
      </w:r>
      <w:hyperlink r:id="rId7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https://doi.org/10.1016/j.prevetmed.2020.105009</w:t>
        </w:r>
      </w:hyperlink>
    </w:p>
    <w:p w14:paraId="05308135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30D9901E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Akoko, J., Pelle, R., Kivali, V., Schelling, E., Shirima, G., Machuka, E.M., Mathew, C., </w:t>
      </w:r>
      <w:r w:rsidRPr="0064223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Kyallo, V., Falzon, L.C., Lukambagire, A.S., Halliday, J.E.B., Bonfoh, B., Kazwala, R., Ouma, C., 2020. Serological and molecular evidence of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Brucella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species in the rapidly growing pig sector in Kenya.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BMC Veterinary Research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16, 133. </w:t>
      </w:r>
      <w:hyperlink r:id="rId8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https://doi.org/10.1186/s12917-020-02346-y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57A9BC7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BB6E2B4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Ahmed, S., Dávila, J.D., Allen, A., Haklay, M.M., Tacoli, C. and </w:t>
      </w:r>
      <w:r w:rsidRPr="0064223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(2019).  Does urbanization make emergence of zoonosis more likely? – Evidence, myths and gaps. 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Environment and Urbanisation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31(2), pp. 443-460.  </w:t>
      </w:r>
      <w:hyperlink r:id="rId9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https://doi.org/10.1177/0956247819866124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6224032F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1A9AFC37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Muloi, D., Kiiru, J., Ward, M.J., Hassell, J.M., Bettridge, J., Robinson, T.P., van Bunnik, B., Chase-Topping, M., Robertson, G., Pedersen, A.B.,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Woolhouse, MEJ., Kang’ethe, E. and Kariuki, S. (2019). Epidemiology of antimicrobial resistant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Escherichia coli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carriage in sympatric humans and livestock in a rapidly urbanising city.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International Journal of Antimicrobial Agents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54(5), pp. 531-537. </w:t>
      </w:r>
      <w:hyperlink r:id="rId10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https://doi.org/10.1016/j.ijantimicag.2019.08.014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6CA912A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42FC129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Muloi, D.,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Bettdige, J., Rono, R., Ong’are, D., Hassell, J.M., Karani, M.K., Muinde, P., van Bunnik, B., Street, A., Chase-Topping, M., Pedersen, A.B., Ward, M.J., and Woolhouse, MEJ. 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(2019). A cross-sectional survey of practices and knowledge among antibiotic retailers in Nairobi, Kenya. 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Journal of Global Health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9:2. </w:t>
      </w:r>
      <w:hyperlink r:id="rId11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https://dx.doi.org/10.7189/jogh.09.020412</w:t>
        </w:r>
      </w:hyperlink>
    </w:p>
    <w:p w14:paraId="171237FC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30FA7C37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Ahmed, S., Haklay, M., Tacoli, C., Githiri, G., Davila, J.D., Allen, A., </w:t>
      </w:r>
      <w:r w:rsidRPr="0064223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(2019). Participatory mapping and food</w:t>
      </w:r>
      <w:r w:rsidRPr="00642234">
        <w:rPr>
          <w:rFonts w:ascii="Times New Roman" w:eastAsia="Times New Roman" w:hAnsi="Times New Roman" w:cs="Times New Roman"/>
          <w:sz w:val="20"/>
          <w:szCs w:val="20"/>
          <w:lang w:eastAsia="en-GB"/>
        </w:rPr>
        <w:t>‐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centred justice in informal settlements in Nairobi, Kenya.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Geo: Geography and Environment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2019;e00077.  </w:t>
      </w:r>
      <w:hyperlink r:id="rId12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https://dx.doi.org/10.1002/geo2.77</w:t>
        </w:r>
      </w:hyperlink>
    </w:p>
    <w:p w14:paraId="147C1044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7688C2B6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Hassell, J.M., Ward, M.J., Muloi, D., Bettridge, J.M., Robinson, T.P., Kariuki, S., Ogendo, A., Kirru, J., Imboma, T., Kang’ethe, E., Öghren, E.M., Williams, N.J., Begon, M., Woolhouse, M.E.J. and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(2019).  Epidemiology of Clinically Relevant Antimicrobial Resistance at the Wildlife-Livestock-Human Interface in Nairobi. 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Lancet Planetary Health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3(6): e259-e269 </w:t>
      </w:r>
      <w:hyperlink r:id="rId13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https://dx.doi.org/10.1016/S2542-5196(19)30083-X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7A2C14A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39DE39C8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Hassell, J.M., Ward, M.J., Muloi, D., Bettridge, J.M., Robinson, T.P., Ogendo, A., Imboma, T., Kiiru, J., Kariuki, S., Begon, M., Kang’ethe, E.K., Woolhouse, M.E.J., </w:t>
      </w:r>
      <w:r w:rsidRPr="0064223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Fèvre, E.M. 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(2019). Deterministic Processes Structure Bacterial Genetic Communities across an Urban Landscape.  </w:t>
      </w:r>
      <w:r w:rsidRPr="00642234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Nature Communications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,10:2643. </w:t>
      </w:r>
      <w:hyperlink r:id="rId14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http://dx.doi.org/10.1038/s41467-019-10595-1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1D5B77EA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5913FFB5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Akoko, J.M., MacLeod, E., Thomas, L.F., Alarcon, P., Kang’ethe, E., Kivali, V., Muloi, D., Muinde, P., Murungi, M.K., Gachoya, J.M. and </w:t>
      </w:r>
      <w:r w:rsidRPr="00642234">
        <w:rPr>
          <w:rFonts w:ascii="Arial" w:eastAsia="MS Mincho" w:hAnsi="Arial" w:cs="Arial"/>
          <w:b/>
          <w:sz w:val="20"/>
          <w:szCs w:val="20"/>
          <w:lang w:eastAsia="ja-JP"/>
        </w:rPr>
        <w:t xml:space="preserve">Fèvre, E.M. </w:t>
      </w: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(2019). Detection of circulating antigens for Taenia spp. in pigs slaughtered for consumption in Nairobi and surroundings, Kenya. </w:t>
      </w:r>
      <w:r w:rsidRPr="00642234">
        <w:rPr>
          <w:rFonts w:ascii="Arial" w:eastAsia="MS Mincho" w:hAnsi="Arial" w:cs="Arial"/>
          <w:i/>
          <w:sz w:val="20"/>
          <w:szCs w:val="20"/>
          <w:lang w:eastAsia="ja-JP"/>
        </w:rPr>
        <w:t>Parasite Epidemiology and Control</w:t>
      </w: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, e00093. </w:t>
      </w:r>
      <w:hyperlink r:id="rId15" w:history="1">
        <w:r w:rsidRPr="00642234">
          <w:rPr>
            <w:rFonts w:ascii="Arial" w:eastAsia="MS Mincho" w:hAnsi="Arial" w:cs="Arial"/>
            <w:color w:val="0000FF"/>
            <w:sz w:val="20"/>
            <w:szCs w:val="20"/>
            <w:u w:val="single"/>
            <w:lang w:eastAsia="ja-JP"/>
          </w:rPr>
          <w:t>https://doi.org/10.1016/j.parepi.2019.e00093</w:t>
        </w:r>
      </w:hyperlink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</w:p>
    <w:p w14:paraId="6F45A954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5E7DEEE7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Muloi, D., Alarcon, P., Ombui, J., Ngeiywa, K.J., Abdullahi, B., Muinde, P., Karani, M.K., Rushton, J. and </w:t>
      </w:r>
      <w:r w:rsidRPr="00642234">
        <w:rPr>
          <w:rFonts w:ascii="Arial" w:eastAsia="MS Mincho" w:hAnsi="Arial" w:cs="Arial"/>
          <w:b/>
          <w:sz w:val="20"/>
          <w:szCs w:val="20"/>
          <w:lang w:eastAsia="ja-JP"/>
        </w:rPr>
        <w:t>Fèvre, E.M. (</w:t>
      </w: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2018). Value chain analysis and sanitary risks of the camel milk system supplying Nairobi city, Kenya. </w:t>
      </w:r>
      <w:r w:rsidRPr="00642234">
        <w:rPr>
          <w:rFonts w:ascii="Arial" w:eastAsia="MS Mincho" w:hAnsi="Arial" w:cs="Arial"/>
          <w:i/>
          <w:sz w:val="20"/>
          <w:szCs w:val="20"/>
          <w:lang w:eastAsia="ja-JP"/>
        </w:rPr>
        <w:t>Preventive Veterinary Medicine</w:t>
      </w: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. 159: 203-210 </w:t>
      </w:r>
      <w:hyperlink r:id="rId16" w:history="1">
        <w:r w:rsidRPr="00642234">
          <w:rPr>
            <w:rFonts w:ascii="Arial" w:eastAsia="MS Mincho" w:hAnsi="Arial" w:cs="Arial"/>
            <w:color w:val="0000FF"/>
            <w:sz w:val="20"/>
            <w:szCs w:val="20"/>
            <w:u w:val="single"/>
            <w:lang w:eastAsia="ja-JP"/>
          </w:rPr>
          <w:t>https://doi.org/10.1016/j.prevetmed.2018.09.010</w:t>
        </w:r>
      </w:hyperlink>
    </w:p>
    <w:p w14:paraId="204309A2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46D54D0A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Kiambi, S., Alarcon, P., Rushton, J., Murungi, M.K., Muinde, P., Akoko, J., Aboge, G., Gikonyo, S., Momanyi, K., Kang’ethe, E.K. and </w:t>
      </w:r>
      <w:r w:rsidRPr="00642234">
        <w:rPr>
          <w:rFonts w:ascii="Arial" w:eastAsia="MS Mincho" w:hAnsi="Arial" w:cs="Arial"/>
          <w:b/>
          <w:sz w:val="20"/>
          <w:szCs w:val="20"/>
          <w:lang w:eastAsia="ja-JP"/>
        </w:rPr>
        <w:t>Fèvre, E.M.</w:t>
      </w: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 (2018). Mapping Nairobi’s dairy food system: An essential analysis for policy, industry and research. </w:t>
      </w:r>
      <w:r w:rsidRPr="00642234">
        <w:rPr>
          <w:rFonts w:ascii="Arial" w:eastAsia="MS Mincho" w:hAnsi="Arial" w:cs="Arial"/>
          <w:i/>
          <w:sz w:val="20"/>
          <w:szCs w:val="20"/>
          <w:lang w:eastAsia="ja-JP"/>
        </w:rPr>
        <w:t>Agricultural Systems</w:t>
      </w: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, 167, 47–60. </w:t>
      </w:r>
      <w:hyperlink r:id="rId17" w:history="1">
        <w:r w:rsidRPr="00642234">
          <w:rPr>
            <w:rFonts w:ascii="Arial" w:eastAsia="MS Mincho" w:hAnsi="Arial" w:cs="Arial"/>
            <w:color w:val="0000FF"/>
            <w:sz w:val="20"/>
            <w:szCs w:val="20"/>
            <w:u w:val="single"/>
            <w:lang w:eastAsia="ja-JP"/>
          </w:rPr>
          <w:t>https://doi.org/10.1016/j.agsy.2018.08.007</w:t>
        </w:r>
      </w:hyperlink>
    </w:p>
    <w:p w14:paraId="7FF95384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1B05FBD2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Carron, M., Chang, Yu-Mei, Momanyi, K., Akoko, J., Kiiru, J., Bettridge, J., Chaloner, G., Rushton, J., O’Brien, S., Williams, N., </w:t>
      </w:r>
      <w:r w:rsidRPr="00642234">
        <w:rPr>
          <w:rFonts w:ascii="Arial" w:eastAsia="MS Mincho" w:hAnsi="Arial" w:cs="Arial"/>
          <w:b/>
          <w:sz w:val="20"/>
          <w:szCs w:val="20"/>
          <w:lang w:eastAsia="ja-JP"/>
        </w:rPr>
        <w:t>Fèvre, E.M.</w:t>
      </w: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 and Häsler, B. (2018).  Campylobacter, a zoonotic pathogen of global importance: prevalence and risk factors in the fast-evolving chicken meat system of Nairobi, Kenya. </w:t>
      </w:r>
      <w:r w:rsidRPr="00642234">
        <w:rPr>
          <w:rFonts w:ascii="Arial" w:eastAsia="MS Mincho" w:hAnsi="Arial" w:cs="Arial"/>
          <w:i/>
          <w:sz w:val="20"/>
          <w:szCs w:val="20"/>
          <w:lang w:eastAsia="ja-JP"/>
        </w:rPr>
        <w:t>PLoS Neglected Tropical Diseases</w:t>
      </w:r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  <w:hyperlink r:id="rId18" w:history="1">
        <w:r w:rsidRPr="00642234">
          <w:rPr>
            <w:rFonts w:ascii="Arial" w:eastAsia="MS Mincho" w:hAnsi="Arial" w:cs="Arial"/>
            <w:color w:val="0000FF"/>
            <w:sz w:val="20"/>
            <w:szCs w:val="20"/>
            <w:u w:val="single"/>
            <w:lang w:eastAsia="ja-JP"/>
          </w:rPr>
          <w:t>https://doi.org/10.1371/journal.pntd.0006658</w:t>
        </w:r>
      </w:hyperlink>
      <w:r w:rsidRPr="00642234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</w:p>
    <w:p w14:paraId="4F9A6D59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7261C2CD" w14:textId="77777777" w:rsidR="00642234" w:rsidRPr="00642234" w:rsidRDefault="00642234" w:rsidP="006422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Muloi. D., Ward, M., Pedersen, A.B.,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Woolhouse, M.E.J., and van Bunnik, B.A.D. (2018). Are food animals responsible for transfer of antimicrobial resistant Escherichia coli or their resistance 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determinants to human populations? A systematic review. 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Foodborne Pathogens and Disease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15(8): 467-474. </w:t>
      </w:r>
      <w:hyperlink r:id="rId19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https://doi.org/10.1089/fpd.2017.2411</w:t>
        </w:r>
      </w:hyperlink>
    </w:p>
    <w:p w14:paraId="2B7B19A7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2C93D3CA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Onono, J.O., Alarcon, P., Karani, M., Muinde, P., Akoko, J.M., Carron, M.,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Häsler, B. and Rushton, J. (2018). Identification of production challenges and benefits using value chain mapping of egg food systems in Nairobi, Kenya. 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Agricultural Systems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159, pp 1-8. </w:t>
      </w:r>
      <w:hyperlink r:id="rId20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http://dx.doi.org/10.1016/j.agsy.2017.10.001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3E30C818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0792725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Alarcon, P.,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., Muinde, P., Murungi, M.K., Kiambi, S., Akoko, J., Rushton, J. (2017). Urban livestock keeping in the city of Nairobi: Diversity of production systems, supply chains and their disease management and risks. 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Frontiers in Veterinary Research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4, pp. 171. </w:t>
      </w:r>
      <w:hyperlink r:id="rId21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http://dx.doi.org/10.3389/fvets.2017.00171</w:t>
        </w:r>
      </w:hyperlink>
    </w:p>
    <w:p w14:paraId="72DF9BE4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076C77F0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Carron, M., Alarcon-Lopez, P., Karani, M., Muinde, P., Akoko, J., Onono, J.,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Haesler, B. and Rushton, J. (2017). The broiler meat system in Nairobi, Kenya: using a value chain framework to understand animal and product flows, governance and sanitary risks.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Preventive Veterinary Medicine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147, pp. 90-99. </w:t>
      </w:r>
      <w:hyperlink r:id="rId22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https://doi.org/10.1016/j.prevetmed.2017.08.013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6741DA46" w14:textId="77777777" w:rsidR="00642234" w:rsidRPr="00642234" w:rsidRDefault="00642234" w:rsidP="006422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45F9016" w14:textId="77777777" w:rsidR="00642234" w:rsidRPr="00642234" w:rsidRDefault="00642234" w:rsidP="006422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Alarcon, P.,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Murungi, M.K., Muinde, P., Akoko, J., Dominguez-Salas, P., Kiambi, S., Ahmed, S., Häsler, B., Rushton, J. (2017).  Mapping of beef, sheep and goat food systems in Nairobi - a framework for policy making and the identification of structural vulnerabilities and deficiencies. 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Agricultural Systems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152;1-17 </w:t>
      </w:r>
      <w:hyperlink r:id="rId23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http://dx.doi.org/10.1016/j.agsy.2016.12.005</w:t>
        </w:r>
      </w:hyperlink>
    </w:p>
    <w:p w14:paraId="412781F8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23B1E91A" w14:textId="77777777" w:rsidR="00642234" w:rsidRPr="00642234" w:rsidRDefault="00642234" w:rsidP="006422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Cornelsen, L., Alarcon, P., Häsler, B., Amendah, D.D., Ferguson, E.,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Grace, D., Dominguez-Salas, P., Rushton, J.R. (2016). Cross-sectional study of drivers of animal-source food consumption in low-income urban areas of Nairobi, Kenya. 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BMC Nutrition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2:70. </w:t>
      </w:r>
      <w:hyperlink r:id="rId24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http://dx.doi.org/10.1186/s40795-016-0109-z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B485465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20DAB19C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Hassell, J.M., Begon, M., Ward, M.J. and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(2017). Urbanisation and disease emergence: dynamics at the wildlife-livestock-human interface. 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Trends in Ecology and Evolution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32(1), pp. 55-67. </w:t>
      </w:r>
      <w:hyperlink r:id="rId25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http://dx.doi.org/10.1016/j.tree.2016.09.012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00DC7E86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25EE8DC8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Robinson, T.P., </w:t>
      </w:r>
      <w:r w:rsidRPr="00642234">
        <w:rPr>
          <w:rFonts w:ascii="Arial" w:eastAsia="Times New Roman" w:hAnsi="Arial" w:cs="Arial"/>
          <w:sz w:val="20"/>
          <w:szCs w:val="20"/>
          <w:lang w:val="en-US" w:eastAsia="en-GB"/>
        </w:rPr>
        <w:t xml:space="preserve">Bub, D.P., Carrique-Mas, J., </w:t>
      </w:r>
      <w:r w:rsidRPr="00642234">
        <w:rPr>
          <w:rFonts w:ascii="Arial" w:eastAsia="Times New Roman" w:hAnsi="Arial" w:cs="Arial"/>
          <w:b/>
          <w:sz w:val="20"/>
          <w:szCs w:val="20"/>
          <w:lang w:val="en-US" w:eastAsia="en-GB"/>
        </w:rPr>
        <w:t>Fèvre, E.M</w:t>
      </w:r>
      <w:r w:rsidRPr="00642234">
        <w:rPr>
          <w:rFonts w:ascii="Arial" w:eastAsia="Times New Roman" w:hAnsi="Arial" w:cs="Arial"/>
          <w:sz w:val="20"/>
          <w:szCs w:val="20"/>
          <w:lang w:val="en-US" w:eastAsia="en-GB"/>
        </w:rPr>
        <w:t xml:space="preserve">., Gilbert, M., Grace, D., Hay, S.I., Jiwakanoni, J., Kakkar, M., Kariuki, S.,Laxminarayan, R., Lubroth, J., Magnussonn, U., Thi Ngoco, P., Van Boeck, T.P., and Woolhouse, M.E.J. (2016). 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Antibiotic resistance: Mitigation opportunities in livestock sector development.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Animal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. 11(1): 1-3 </w:t>
      </w:r>
      <w:hyperlink r:id="rId26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http://dx.doi.org/10.1017/S1751731116001828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BC206DA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6D8DAC53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Dominguez-Salas, P., Alarcon, P. Häsler, B., Dohoo, I.R., Colverson, K., Kimani-Murage, E.W., Alonso, S., Ferguson, E., </w:t>
      </w:r>
      <w:r w:rsidRPr="00642234">
        <w:rPr>
          <w:rFonts w:ascii="Arial" w:eastAsia="Times New Roman" w:hAnsi="Arial" w:cs="Arial"/>
          <w:b/>
          <w:sz w:val="20"/>
          <w:szCs w:val="20"/>
          <w:lang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Rushton, J., Grace, D. (2016). Nutritional characterisation of low-income households of Nairobi: socioeconomic, livestock and gender considerations and 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predictors of malnutrition from a cross-sectional survey. </w:t>
      </w:r>
      <w:r w:rsidRPr="00642234">
        <w:rPr>
          <w:rFonts w:ascii="Arial" w:eastAsia="Times New Roman" w:hAnsi="Arial" w:cs="Arial"/>
          <w:i/>
          <w:sz w:val="20"/>
          <w:szCs w:val="20"/>
          <w:lang w:eastAsia="en-GB"/>
        </w:rPr>
        <w:t>BMC Nutrition</w:t>
      </w: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, 2:47 </w:t>
      </w:r>
      <w:hyperlink r:id="rId27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http://dx.doi.org/10.1186/s40795-016-0086-2</w:t>
        </w:r>
      </w:hyperlink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6F18ED7A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MS Mincho" w:hAnsi="Arial" w:cs="Arial"/>
          <w:sz w:val="20"/>
          <w:szCs w:val="20"/>
          <w:lang w:eastAsia="ja-JP"/>
        </w:rPr>
        <w:t> </w:t>
      </w:r>
    </w:p>
    <w:p w14:paraId="2A5B4EF1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2234">
        <w:rPr>
          <w:rFonts w:ascii="Arial" w:eastAsia="Times New Roman" w:hAnsi="Arial" w:cs="Arial"/>
          <w:sz w:val="20"/>
          <w:szCs w:val="20"/>
          <w:lang w:eastAsia="en-GB"/>
        </w:rPr>
        <w:t xml:space="preserve">Robinson, T.P., </w:t>
      </w:r>
      <w:r w:rsidRPr="00642234">
        <w:rPr>
          <w:rFonts w:ascii="Arial" w:eastAsia="Times New Roman" w:hAnsi="Arial" w:cs="Arial"/>
          <w:sz w:val="20"/>
          <w:szCs w:val="20"/>
          <w:lang w:val="en-US" w:eastAsia="en-GB"/>
        </w:rPr>
        <w:t xml:space="preserve">Bub, D.P., Carrique-Mas, J., </w:t>
      </w:r>
      <w:r w:rsidRPr="00642234">
        <w:rPr>
          <w:rFonts w:ascii="Arial" w:eastAsia="Times New Roman" w:hAnsi="Arial" w:cs="Arial"/>
          <w:b/>
          <w:sz w:val="20"/>
          <w:szCs w:val="20"/>
          <w:lang w:val="en-US" w:eastAsia="en-GB"/>
        </w:rPr>
        <w:t>Fèvre, E.M.</w:t>
      </w:r>
      <w:r w:rsidRPr="00642234">
        <w:rPr>
          <w:rFonts w:ascii="Arial" w:eastAsia="Times New Roman" w:hAnsi="Arial" w:cs="Arial"/>
          <w:sz w:val="20"/>
          <w:szCs w:val="20"/>
          <w:lang w:val="en-US" w:eastAsia="en-GB"/>
        </w:rPr>
        <w:t xml:space="preserve">, Gilbert, M., Grace, D., Hay, S.I., Jiwakanoni, J., Kakkar, M., Kariuki, S.,Laxminarayan, R., Lubroth, J., Magnussonn, U., Thi Ngoco, P., Van Boeck, T.P., and Woolhouse, M.E.J. (2016). Antibiotic resistance is the quintessential One Health issue. </w:t>
      </w:r>
      <w:r w:rsidRPr="00642234">
        <w:rPr>
          <w:rFonts w:ascii="Arial" w:eastAsia="Times New Roman" w:hAnsi="Arial" w:cs="Arial"/>
          <w:i/>
          <w:sz w:val="20"/>
          <w:szCs w:val="20"/>
          <w:lang w:val="en-US" w:eastAsia="en-GB"/>
        </w:rPr>
        <w:t>Transactions of Royal Society of Tropical Medicine and Hygiene</w:t>
      </w:r>
      <w:r w:rsidRPr="00642234">
        <w:rPr>
          <w:rFonts w:ascii="Arial" w:eastAsia="Times New Roman" w:hAnsi="Arial" w:cs="Arial"/>
          <w:sz w:val="20"/>
          <w:szCs w:val="20"/>
          <w:lang w:val="en-US" w:eastAsia="en-GB"/>
        </w:rPr>
        <w:t xml:space="preserve">, 110(7): 377-380 </w:t>
      </w:r>
      <w:hyperlink r:id="rId28" w:history="1"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http://dx.doi.org/</w:t>
        </w:r>
        <w:r w:rsidRPr="0064223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n-GB"/>
          </w:rPr>
          <w:t>10.1093/trstmh/trw048</w:t>
        </w:r>
      </w:hyperlink>
    </w:p>
    <w:p w14:paraId="0BF04381" w14:textId="77777777" w:rsidR="00642234" w:rsidRPr="00642234" w:rsidRDefault="00642234" w:rsidP="0064223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72C65191" w14:textId="77777777" w:rsidR="00642234" w:rsidRDefault="00642234"/>
    <w:sectPr w:rsidR="00642234" w:rsidSect="00300E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34"/>
    <w:rsid w:val="00300E1A"/>
    <w:rsid w:val="00484F8B"/>
    <w:rsid w:val="00642234"/>
    <w:rsid w:val="00643846"/>
    <w:rsid w:val="00837B9D"/>
    <w:rsid w:val="008F66EB"/>
    <w:rsid w:val="009C22CF"/>
    <w:rsid w:val="00F3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84EC5"/>
  <w15:chartTrackingRefBased/>
  <w15:docId w15:val="{95BFF22F-8C46-9B43-A57E-A102D48E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2234"/>
    <w:rPr>
      <w:color w:val="0000FF"/>
      <w:u w:val="single"/>
    </w:rPr>
  </w:style>
  <w:style w:type="character" w:customStyle="1" w:styleId="postbox-detected-content">
    <w:name w:val="__postbox-detected-content"/>
    <w:basedOn w:val="DefaultParagraphFont"/>
    <w:rsid w:val="0064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7-020-02346-y" TargetMode="External"/><Relationship Id="rId13" Type="http://schemas.openxmlformats.org/officeDocument/2006/relationships/hyperlink" Target="https://dx.doi.org/10.1016/S2542-5196%2819%2930083-X" TargetMode="External"/><Relationship Id="rId18" Type="http://schemas.openxmlformats.org/officeDocument/2006/relationships/hyperlink" Target="https://doi.org/10.1371/journal.pntd.0006658" TargetMode="External"/><Relationship Id="rId26" Type="http://schemas.openxmlformats.org/officeDocument/2006/relationships/hyperlink" Target="http://dx.doi.org/10.1017/S17517311160018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x.doi.org/10.3389/fvets.2017.00171" TargetMode="External"/><Relationship Id="rId7" Type="http://schemas.openxmlformats.org/officeDocument/2006/relationships/hyperlink" Target="https://doi.org/10.1016/j.prevetmed.2020.105009" TargetMode="External"/><Relationship Id="rId12" Type="http://schemas.openxmlformats.org/officeDocument/2006/relationships/hyperlink" Target="https://dx.doi.org/10.1002/geo2.77" TargetMode="External"/><Relationship Id="rId17" Type="http://schemas.openxmlformats.org/officeDocument/2006/relationships/hyperlink" Target="https://doi.org/10.1016/j.agsy.2018.08.007" TargetMode="External"/><Relationship Id="rId25" Type="http://schemas.openxmlformats.org/officeDocument/2006/relationships/hyperlink" Target="http://dx.doi.org/10.1016/j.tree.2016.09.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prevetmed.2018.09.010" TargetMode="External"/><Relationship Id="rId20" Type="http://schemas.openxmlformats.org/officeDocument/2006/relationships/hyperlink" Target="http://dx.doi.org/10.1016/j.agsy.2017.10.00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4269/ajtmh.20-1004" TargetMode="External"/><Relationship Id="rId11" Type="http://schemas.openxmlformats.org/officeDocument/2006/relationships/hyperlink" Target="https://dx.doi.org/10.7189/jogh.09.020412" TargetMode="External"/><Relationship Id="rId24" Type="http://schemas.openxmlformats.org/officeDocument/2006/relationships/hyperlink" Target="http://dx.doi.org/10.1186/s40795-016-0109-z" TargetMode="External"/><Relationship Id="rId5" Type="http://schemas.openxmlformats.org/officeDocument/2006/relationships/hyperlink" Target="http://dx.doi.org/10.1111/gcb.15412" TargetMode="External"/><Relationship Id="rId15" Type="http://schemas.openxmlformats.org/officeDocument/2006/relationships/hyperlink" Target="https://doi.org/10.1016/j.parepi.2019.e00093" TargetMode="External"/><Relationship Id="rId23" Type="http://schemas.openxmlformats.org/officeDocument/2006/relationships/hyperlink" Target="http://dx.doi.org/10.1016/j.agsy.2016.12.005" TargetMode="External"/><Relationship Id="rId28" Type="http://schemas.openxmlformats.org/officeDocument/2006/relationships/hyperlink" Target="http://dx.doi.org/10.1093/trstmh/trw048" TargetMode="External"/><Relationship Id="rId10" Type="http://schemas.openxmlformats.org/officeDocument/2006/relationships/hyperlink" Target="https://doi.org/10.1016/j.ijantimicag.2019.08.014" TargetMode="External"/><Relationship Id="rId19" Type="http://schemas.openxmlformats.org/officeDocument/2006/relationships/hyperlink" Target="https://doi.org/10.1089/fpd.2017.2411" TargetMode="External"/><Relationship Id="rId4" Type="http://schemas.openxmlformats.org/officeDocument/2006/relationships/hyperlink" Target="https://doi.org/10.3389/fvets.2021.581376" TargetMode="External"/><Relationship Id="rId9" Type="http://schemas.openxmlformats.org/officeDocument/2006/relationships/hyperlink" Target="https://doi.org/10.1177/0956247819866124" TargetMode="External"/><Relationship Id="rId14" Type="http://schemas.openxmlformats.org/officeDocument/2006/relationships/hyperlink" Target="http://dx.doi.org/10.1038/s41467-019-10595-1" TargetMode="External"/><Relationship Id="rId22" Type="http://schemas.openxmlformats.org/officeDocument/2006/relationships/hyperlink" Target="https://doi.org/10.1016/j.prevetmed.2017.08.013" TargetMode="External"/><Relationship Id="rId27" Type="http://schemas.openxmlformats.org/officeDocument/2006/relationships/hyperlink" Target="http://dx.doi.org/10.1186/s40795-016-0086-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Fevre</dc:creator>
  <cp:keywords/>
  <dc:description/>
  <cp:lastModifiedBy>Eric Fevre</cp:lastModifiedBy>
  <cp:revision>1</cp:revision>
  <dcterms:created xsi:type="dcterms:W3CDTF">2021-02-23T12:04:00Z</dcterms:created>
  <dcterms:modified xsi:type="dcterms:W3CDTF">2021-02-23T12:05:00Z</dcterms:modified>
</cp:coreProperties>
</file>