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8DBB8" w14:textId="7E76690A" w:rsidR="00346A76" w:rsidRDefault="00CF2893">
      <w:pPr>
        <w:widowControl/>
        <w:spacing w:after="160" w:line="259" w:lineRule="auto"/>
        <w:rPr>
          <w:rFonts w:ascii="Calibri" w:eastAsia="等线" w:hAnsi="Calibri" w:cs="Times New Roman"/>
          <w:kern w:val="0"/>
          <w:sz w:val="22"/>
          <w:szCs w:val="22"/>
        </w:rPr>
      </w:pPr>
      <w:r>
        <w:rPr>
          <w:rFonts w:ascii="Calibri" w:eastAsia="等线" w:hAnsi="Calibri" w:cs="Times New Roman"/>
          <w:noProof/>
          <w:kern w:val="0"/>
          <w:sz w:val="22"/>
          <w:szCs w:val="22"/>
        </w:rPr>
        <w:drawing>
          <wp:inline distT="0" distB="0" distL="0" distR="0" wp14:anchorId="51A155E9" wp14:editId="51059913">
            <wp:extent cx="5640594" cy="314682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400" cy="3152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D22426" w14:textId="77777777" w:rsidR="00346A76" w:rsidRDefault="00476AA6">
      <w:pPr>
        <w:widowControl/>
        <w:spacing w:after="160" w:line="259" w:lineRule="auto"/>
        <w:jc w:val="center"/>
        <w:rPr>
          <w:rFonts w:ascii="Calibri" w:eastAsia="等线" w:hAnsi="Calibri" w:cs="Times New Roman"/>
          <w:kern w:val="0"/>
          <w:sz w:val="22"/>
          <w:szCs w:val="22"/>
        </w:rPr>
      </w:pPr>
      <w:r>
        <w:rPr>
          <w:rFonts w:ascii="Times New Roman" w:eastAsia="等线" w:hAnsi="Times New Roman" w:cs="Times New Roman"/>
          <w:kern w:val="0"/>
          <w:sz w:val="22"/>
          <w:szCs w:val="22"/>
        </w:rPr>
        <w:t xml:space="preserve">Fig </w:t>
      </w:r>
      <w:r>
        <w:rPr>
          <w:rFonts w:ascii="Times New Roman" w:eastAsia="等线" w:hAnsi="Times New Roman" w:cs="Times New Roman" w:hint="eastAsia"/>
          <w:kern w:val="0"/>
          <w:sz w:val="22"/>
          <w:szCs w:val="22"/>
        </w:rPr>
        <w:t>S</w:t>
      </w:r>
      <w:r>
        <w:rPr>
          <w:rFonts w:ascii="Times New Roman" w:eastAsia="等线" w:hAnsi="Times New Roman" w:cs="Times New Roman"/>
          <w:kern w:val="0"/>
          <w:sz w:val="22"/>
          <w:szCs w:val="22"/>
        </w:rPr>
        <w:t>1. The Map of Administrative Divisions of Shanghai, China</w:t>
      </w:r>
    </w:p>
    <w:p w14:paraId="39C1747C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4D9E991B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58647567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20F8CD08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03DE72DE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07E962A7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1F7A5665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33511D3C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49DB57A5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7EBE2E67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610720F9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6988DE86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42CDB45D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688D2D06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0B0525D6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5F89305F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2D119E1B" w14:textId="77777777" w:rsidR="00346A76" w:rsidRDefault="00346A76">
      <w:pPr>
        <w:sectPr w:rsidR="00346A7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7EB3360" w14:textId="77777777" w:rsidR="00346A76" w:rsidRDefault="00476AA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  <w:r>
        <w:rPr>
          <w:rFonts w:ascii="Calibri" w:eastAsia="等线" w:hAnsi="Calibri" w:cs="Times New Roman"/>
          <w:noProof/>
          <w:kern w:val="0"/>
          <w:sz w:val="22"/>
          <w:szCs w:val="22"/>
        </w:rPr>
        <w:lastRenderedPageBreak/>
        <w:drawing>
          <wp:inline distT="0" distB="0" distL="0" distR="0" wp14:anchorId="0174890B" wp14:editId="50655E95">
            <wp:extent cx="2436073" cy="1633355"/>
            <wp:effectExtent l="0" t="0" r="2540" b="5080"/>
            <wp:docPr id="131" name="图表 1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rFonts w:ascii="Calibri" w:eastAsia="等线" w:hAnsi="Calibri" w:cs="Times New Roman"/>
          <w:noProof/>
          <w:kern w:val="0"/>
          <w:sz w:val="22"/>
          <w:szCs w:val="22"/>
        </w:rPr>
        <w:drawing>
          <wp:inline distT="0" distB="0" distL="0" distR="0" wp14:anchorId="721F286E" wp14:editId="5C8E085F">
            <wp:extent cx="2510877" cy="1620414"/>
            <wp:effectExtent l="0" t="0" r="3810" b="18415"/>
            <wp:docPr id="114" name="图表 1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rFonts w:ascii="Calibri" w:eastAsia="等线" w:hAnsi="Calibri" w:cs="Times New Roman"/>
          <w:noProof/>
          <w:kern w:val="0"/>
          <w:sz w:val="22"/>
          <w:szCs w:val="22"/>
        </w:rPr>
        <w:drawing>
          <wp:inline distT="0" distB="0" distL="0" distR="0" wp14:anchorId="48BF4A8A" wp14:editId="7F0FA8AF">
            <wp:extent cx="2422898" cy="1656260"/>
            <wp:effectExtent l="0" t="0" r="15875" b="1270"/>
            <wp:docPr id="121" name="图表 1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51E9AE1" w14:textId="77777777" w:rsidR="00346A76" w:rsidRDefault="00476AA6">
      <w:pPr>
        <w:numPr>
          <w:ilvl w:val="0"/>
          <w:numId w:val="1"/>
        </w:numPr>
        <w:spacing w:after="160" w:line="259" w:lineRule="auto"/>
        <w:ind w:firstLine="1123"/>
        <w:contextualSpacing/>
        <w:rPr>
          <w:rFonts w:ascii="Calibri" w:eastAsia="等线" w:hAnsi="Calibri" w:cs="Times New Roman"/>
          <w:sz w:val="22"/>
          <w:szCs w:val="22"/>
        </w:rPr>
      </w:pPr>
      <w:r>
        <w:rPr>
          <w:rFonts w:ascii="Calibri" w:eastAsia="等线" w:hAnsi="Calibri" w:cs="Times New Roman"/>
          <w:sz w:val="22"/>
          <w:szCs w:val="22"/>
        </w:rPr>
        <w:t xml:space="preserve">                                        (b)                                         (c)</w:t>
      </w:r>
    </w:p>
    <w:p w14:paraId="72287BA2" w14:textId="77777777" w:rsidR="00346A76" w:rsidRDefault="00476AA6">
      <w:pPr>
        <w:spacing w:after="160" w:line="259" w:lineRule="auto"/>
        <w:contextualSpacing/>
        <w:rPr>
          <w:rFonts w:ascii="Calibri" w:eastAsia="等线" w:hAnsi="Calibri" w:cs="Times New Roman"/>
          <w:sz w:val="22"/>
          <w:szCs w:val="22"/>
        </w:rPr>
      </w:pPr>
      <w:r>
        <w:rPr>
          <w:rFonts w:ascii="Calibri" w:eastAsia="等线" w:hAnsi="Calibri" w:cs="Times New Roman"/>
          <w:sz w:val="22"/>
          <w:szCs w:val="22"/>
        </w:rPr>
        <w:t xml:space="preserve">                                                                                                       </w:t>
      </w:r>
    </w:p>
    <w:p w14:paraId="470C47AB" w14:textId="5CF8D09F" w:rsidR="00346A76" w:rsidRDefault="00941728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  <w:r>
        <w:rPr>
          <w:rFonts w:ascii="Calibri" w:eastAsia="等线" w:hAnsi="Calibri" w:cs="Times New Roman"/>
          <w:noProof/>
          <w:kern w:val="0"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158A7087" wp14:editId="3139724F">
            <wp:simplePos x="0" y="0"/>
            <wp:positionH relativeFrom="column">
              <wp:posOffset>1629410</wp:posOffset>
            </wp:positionH>
            <wp:positionV relativeFrom="paragraph">
              <wp:posOffset>90805</wp:posOffset>
            </wp:positionV>
            <wp:extent cx="2493645" cy="1439545"/>
            <wp:effectExtent l="0" t="0" r="1905" b="8255"/>
            <wp:wrapSquare wrapText="bothSides"/>
            <wp:docPr id="122" name="图表 1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等线" w:hAnsi="Calibri" w:cs="Times New Roman"/>
          <w:noProof/>
          <w:kern w:val="0"/>
          <w:sz w:val="22"/>
          <w:szCs w:val="22"/>
        </w:rPr>
        <w:drawing>
          <wp:anchor distT="0" distB="0" distL="114300" distR="114300" simplePos="0" relativeHeight="251657216" behindDoc="0" locked="0" layoutInCell="1" allowOverlap="1" wp14:anchorId="7D153472" wp14:editId="432C458B">
            <wp:simplePos x="0" y="0"/>
            <wp:positionH relativeFrom="column">
              <wp:posOffset>4547235</wp:posOffset>
            </wp:positionH>
            <wp:positionV relativeFrom="paragraph">
              <wp:posOffset>69850</wp:posOffset>
            </wp:positionV>
            <wp:extent cx="2630805" cy="1460500"/>
            <wp:effectExtent l="0" t="0" r="17145" b="6350"/>
            <wp:wrapSquare wrapText="bothSides"/>
            <wp:docPr id="123" name="图表 1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2637FF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7E3F1969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55BEC0F0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11FC9154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21600AB3" w14:textId="77777777" w:rsidR="00346A76" w:rsidRDefault="00346A7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</w:p>
    <w:p w14:paraId="7C873DEE" w14:textId="03E3190B" w:rsidR="00346A76" w:rsidRDefault="00476AA6">
      <w:pPr>
        <w:widowControl/>
        <w:spacing w:after="160" w:line="259" w:lineRule="auto"/>
        <w:jc w:val="left"/>
        <w:rPr>
          <w:rFonts w:ascii="Calibri" w:eastAsia="等线" w:hAnsi="Calibri" w:cs="Times New Roman"/>
          <w:kern w:val="0"/>
          <w:sz w:val="22"/>
          <w:szCs w:val="22"/>
        </w:rPr>
      </w:pPr>
      <w:r>
        <w:rPr>
          <w:rFonts w:ascii="Calibri" w:eastAsia="等线" w:hAnsi="Calibri" w:cs="Times New Roman"/>
          <w:kern w:val="0"/>
          <w:sz w:val="22"/>
          <w:szCs w:val="22"/>
        </w:rPr>
        <w:t xml:space="preserve">         </w:t>
      </w:r>
      <w:r>
        <w:rPr>
          <w:rFonts w:ascii="Calibri" w:eastAsia="等线" w:hAnsi="Calibri" w:cs="Times New Roman"/>
          <w:kern w:val="0"/>
          <w:sz w:val="22"/>
          <w:szCs w:val="22"/>
        </w:rPr>
        <w:t xml:space="preserve">                                 (d)    </w:t>
      </w:r>
      <w:r>
        <w:rPr>
          <w:rFonts w:ascii="Calibri" w:eastAsia="等线" w:hAnsi="Calibri" w:cs="Times New Roman" w:hint="eastAsia"/>
          <w:kern w:val="0"/>
          <w:sz w:val="22"/>
          <w:szCs w:val="22"/>
        </w:rPr>
        <w:t xml:space="preserve">                      </w:t>
      </w:r>
      <w:r>
        <w:rPr>
          <w:rFonts w:ascii="Calibri" w:eastAsia="等线" w:hAnsi="Calibri" w:cs="Times New Roman"/>
          <w:kern w:val="0"/>
          <w:sz w:val="22"/>
          <w:szCs w:val="22"/>
        </w:rPr>
        <w:t xml:space="preserve">  (e)</w:t>
      </w:r>
    </w:p>
    <w:p w14:paraId="7A0A682F" w14:textId="3A447464" w:rsidR="00346A76" w:rsidRDefault="00476AA6" w:rsidP="00941728">
      <w:pPr>
        <w:widowControl/>
        <w:spacing w:after="160" w:line="259" w:lineRule="auto"/>
        <w:jc w:val="left"/>
      </w:pPr>
      <w:r>
        <w:rPr>
          <w:rFonts w:ascii="Times New Roman" w:eastAsia="等线" w:hAnsi="Times New Roman" w:cs="Times New Roman"/>
          <w:kern w:val="0"/>
          <w:sz w:val="20"/>
          <w:szCs w:val="20"/>
        </w:rPr>
        <w:t>Fig.</w:t>
      </w:r>
      <w:r>
        <w:rPr>
          <w:rFonts w:ascii="Times New Roman" w:eastAsia="等线" w:hAnsi="Times New Roman" w:cs="Times New Roman" w:hint="eastAsia"/>
          <w:kern w:val="0"/>
          <w:sz w:val="20"/>
          <w:szCs w:val="20"/>
        </w:rPr>
        <w:t>S</w:t>
      </w:r>
      <w:r>
        <w:rPr>
          <w:rFonts w:ascii="Times New Roman" w:eastAsia="等线" w:hAnsi="Times New Roman" w:cs="Times New Roman"/>
          <w:kern w:val="0"/>
          <w:sz w:val="20"/>
          <w:szCs w:val="20"/>
        </w:rPr>
        <w:t xml:space="preserve">2 Trends of The Theil Indexes For the Health Resources in </w:t>
      </w:r>
      <w:r>
        <w:rPr>
          <w:rFonts w:ascii="Times New Roman" w:eastAsia="等线" w:hAnsi="Times New Roman" w:cs="Times New Roman"/>
          <w:kern w:val="0"/>
          <w:sz w:val="20"/>
          <w:szCs w:val="20"/>
        </w:rPr>
        <w:t xml:space="preserve">Shanghai at regional level From 2010 to 2016. (a),(b),(c) ,(d) and (e) presents trends of the Theil Indexes for health institution, beds, </w:t>
      </w:r>
      <w:r>
        <w:rPr>
          <w:rFonts w:ascii="Times New Roman" w:eastAsia="等线" w:hAnsi="Times New Roman" w:cs="Times New Roman"/>
          <w:kern w:val="0"/>
          <w:sz w:val="20"/>
          <w:szCs w:val="20"/>
        </w:rPr>
        <w:t>technicians, doctors and nurses in Shanghai at regional level From 2010 to 2016,respectively.IPK: Number of instituti</w:t>
      </w:r>
      <w:r>
        <w:rPr>
          <w:rFonts w:ascii="Times New Roman" w:eastAsia="等线" w:hAnsi="Times New Roman" w:cs="Times New Roman"/>
          <w:kern w:val="0"/>
          <w:sz w:val="20"/>
          <w:szCs w:val="20"/>
        </w:rPr>
        <w:t>ons per 1000 people ;BPK: Number of beds per 1000 people; DPK: Number of doctors per 1000 people; TPK: Number of technicians per 1000 people; NPK: Number of nurses per 1000 people</w:t>
      </w:r>
    </w:p>
    <w:sectPr w:rsidR="00346A76" w:rsidSect="00941728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0B2C9" w14:textId="77777777" w:rsidR="00476AA6" w:rsidRDefault="00476AA6" w:rsidP="00CF2893">
      <w:r>
        <w:separator/>
      </w:r>
    </w:p>
  </w:endnote>
  <w:endnote w:type="continuationSeparator" w:id="0">
    <w:p w14:paraId="1284D668" w14:textId="77777777" w:rsidR="00476AA6" w:rsidRDefault="00476AA6" w:rsidP="00CF2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D7A39" w14:textId="77777777" w:rsidR="00476AA6" w:rsidRDefault="00476AA6" w:rsidP="00CF2893">
      <w:r>
        <w:separator/>
      </w:r>
    </w:p>
  </w:footnote>
  <w:footnote w:type="continuationSeparator" w:id="0">
    <w:p w14:paraId="323BBAD4" w14:textId="77777777" w:rsidR="00476AA6" w:rsidRDefault="00476AA6" w:rsidP="00CF28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B5BAC"/>
    <w:multiLevelType w:val="multilevel"/>
    <w:tmpl w:val="408B5BAC"/>
    <w:lvl w:ilvl="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80977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NlY2ZmMzExMTYyOTJmOTkyZDFjNjZiMTQ2MDE0NWQifQ=="/>
  </w:docVars>
  <w:rsids>
    <w:rsidRoot w:val="539D43B6"/>
    <w:rsid w:val="00346A76"/>
    <w:rsid w:val="00476AA6"/>
    <w:rsid w:val="00941728"/>
    <w:rsid w:val="00CF2893"/>
    <w:rsid w:val="1C91456E"/>
    <w:rsid w:val="311F2405"/>
    <w:rsid w:val="539D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E15869"/>
  <w15:docId w15:val="{2431BF7F-791F-4E36-9987-1DC39498A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F2893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rsid w:val="00CF2893"/>
    <w:rPr>
      <w:kern w:val="2"/>
      <w:sz w:val="21"/>
      <w:szCs w:val="24"/>
    </w:rPr>
  </w:style>
  <w:style w:type="paragraph" w:styleId="a5">
    <w:name w:val="footer"/>
    <w:basedOn w:val="a"/>
    <w:link w:val="a6"/>
    <w:rsid w:val="00CF2893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rsid w:val="00CF289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ful%20files\sci%20writing\ssci%20writing\first%20one\the%20third%20oner-spatial%20economitrics%20analysis\panel%20data%20for%20theil.xls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ful%20files\sci%20writing\ssci%20writing\first%20one\the%20third%20oner-spatial%20economitrics%20analysis\panel%20data%20for%20theil.xls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C:\useful%20files\sci%20writing\ssci%20writing\first%20one\the%20third%20oner-spatial%20economitrics%20analysis\panel%20data%20for%20theil.xls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C:\useful%20files\sci%20writing\ssci%20writing\first%20one\the%20third%20oner-spatial%20economitrics%20analysis\panel%20data%20for%20theil.xls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oleObject" Target="file:///C:\useful%20files\sci%20writing\ssci%20writing\first%20one\the%20third%20oner-spatial%20economitrics%20analysis\panel%20data%20for%20theil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20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IPK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2000" b="0" i="0" u="none" strike="noStrike" kern="1200" cap="none" spc="0" normalizeH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06194248664721"/>
          <c:y val="5.9177249754247298E-2"/>
          <c:w val="0.69571821284570901"/>
          <c:h val="0.59240544746343604"/>
        </c:manualLayout>
      </c:layout>
      <c:lineChart>
        <c:grouping val="standard"/>
        <c:varyColors val="0"/>
        <c:ser>
          <c:idx val="0"/>
          <c:order val="0"/>
          <c:tx>
            <c:strRef>
              <c:f>Sheet1!$J$3</c:f>
              <c:strCache>
                <c:ptCount val="1"/>
                <c:pt idx="0">
                  <c:v>central</c:v>
                </c:pt>
              </c:strCache>
            </c:strRef>
          </c:tx>
          <c:spPr>
            <a:ln w="38100" cap="rnd">
              <a:solidFill>
                <a:srgbClr val="4472C4"/>
              </a:solidFill>
              <a:round/>
            </a:ln>
            <a:effectLst/>
          </c:spPr>
          <c:marker>
            <c:symbol val="none"/>
          </c:marker>
          <c:cat>
            <c:numRef>
              <c:f>Sheet1!$K$2:$Q$2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Sheet1!$K$3:$Q$3</c:f>
              <c:numCache>
                <c:formatCode>0.00</c:formatCode>
                <c:ptCount val="7"/>
                <c:pt idx="0">
                  <c:v>7.0000000000000007E-2</c:v>
                </c:pt>
                <c:pt idx="1">
                  <c:v>7.7450000000000005E-2</c:v>
                </c:pt>
                <c:pt idx="2">
                  <c:v>6.5430000000000002E-2</c:v>
                </c:pt>
                <c:pt idx="3">
                  <c:v>6.2359999999999999E-2</c:v>
                </c:pt>
                <c:pt idx="4">
                  <c:v>5.9420000000000001E-2</c:v>
                </c:pt>
                <c:pt idx="5">
                  <c:v>5.4899999999999997E-2</c:v>
                </c:pt>
                <c:pt idx="6">
                  <c:v>5.9020000000000003E-2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632-450F-86FD-08932343C329}"/>
            </c:ext>
          </c:extLst>
        </c:ser>
        <c:ser>
          <c:idx val="1"/>
          <c:order val="1"/>
          <c:tx>
            <c:strRef>
              <c:f>Sheet1!$J$4</c:f>
              <c:strCache>
                <c:ptCount val="1"/>
                <c:pt idx="0">
                  <c:v>dual-semi</c:v>
                </c:pt>
              </c:strCache>
            </c:strRef>
          </c:tx>
          <c:spPr>
            <a:ln w="38100" cap="rnd">
              <a:solidFill>
                <a:srgbClr val="ED7D31"/>
              </a:solidFill>
              <a:round/>
            </a:ln>
            <a:effectLst/>
          </c:spPr>
          <c:marker>
            <c:symbol val="none"/>
          </c:marker>
          <c:cat>
            <c:numRef>
              <c:f>Sheet1!$K$2:$Q$2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Sheet1!$K$4:$Q$4</c:f>
              <c:numCache>
                <c:formatCode>0.00</c:formatCode>
                <c:ptCount val="7"/>
                <c:pt idx="0">
                  <c:v>0.01</c:v>
                </c:pt>
                <c:pt idx="1">
                  <c:v>0.01</c:v>
                </c:pt>
                <c:pt idx="2">
                  <c:v>0.01</c:v>
                </c:pt>
                <c:pt idx="3">
                  <c:v>0.01</c:v>
                </c:pt>
                <c:pt idx="4">
                  <c:v>0.01</c:v>
                </c:pt>
                <c:pt idx="5">
                  <c:v>0.01</c:v>
                </c:pt>
                <c:pt idx="6">
                  <c:v>0.01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632-450F-86FD-08932343C329}"/>
            </c:ext>
          </c:extLst>
        </c:ser>
        <c:ser>
          <c:idx val="2"/>
          <c:order val="2"/>
          <c:tx>
            <c:strRef>
              <c:f>Sheet1!$J$5</c:f>
              <c:strCache>
                <c:ptCount val="1"/>
                <c:pt idx="0">
                  <c:v>rural</c:v>
                </c:pt>
              </c:strCache>
            </c:strRef>
          </c:tx>
          <c:spPr>
            <a:ln w="38100" cap="rnd">
              <a:solidFill>
                <a:srgbClr val="A5A5A5"/>
              </a:solidFill>
              <a:round/>
            </a:ln>
            <a:effectLst/>
          </c:spPr>
          <c:marker>
            <c:symbol val="none"/>
          </c:marker>
          <c:cat>
            <c:numRef>
              <c:f>Sheet1!$K$2:$Q$2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Sheet1!$K$5:$Q$5</c:f>
              <c:numCache>
                <c:formatCode>0.00</c:formatCode>
                <c:ptCount val="7"/>
                <c:pt idx="0">
                  <c:v>0.04</c:v>
                </c:pt>
                <c:pt idx="1">
                  <c:v>0.05</c:v>
                </c:pt>
                <c:pt idx="2">
                  <c:v>0.04</c:v>
                </c:pt>
                <c:pt idx="3">
                  <c:v>7.0000000000000007E-2</c:v>
                </c:pt>
                <c:pt idx="4">
                  <c:v>7.0000000000000007E-2</c:v>
                </c:pt>
                <c:pt idx="5">
                  <c:v>7.0000000000000007E-2</c:v>
                </c:pt>
                <c:pt idx="6">
                  <c:v>0.08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632-450F-86FD-08932343C329}"/>
            </c:ext>
          </c:extLst>
        </c:ser>
        <c:ser>
          <c:idx val="3"/>
          <c:order val="3"/>
          <c:tx>
            <c:strRef>
              <c:f>Sheet1!$J$6</c:f>
              <c:strCache>
                <c:ptCount val="1"/>
                <c:pt idx="0">
                  <c:v>total</c:v>
                </c:pt>
              </c:strCache>
            </c:strRef>
          </c:tx>
          <c:spPr>
            <a:ln w="3810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cat>
            <c:numRef>
              <c:f>Sheet1!$K$2:$Q$2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Sheet1!$K$6:$Q$6</c:f>
              <c:numCache>
                <c:formatCode>General</c:formatCode>
                <c:ptCount val="7"/>
                <c:pt idx="0">
                  <c:v>0.09</c:v>
                </c:pt>
                <c:pt idx="1">
                  <c:v>0.08</c:v>
                </c:pt>
                <c:pt idx="2">
                  <c:v>0.08</c:v>
                </c:pt>
                <c:pt idx="3">
                  <c:v>0.06</c:v>
                </c:pt>
                <c:pt idx="4">
                  <c:v>0.06</c:v>
                </c:pt>
                <c:pt idx="5">
                  <c:v>0.06</c:v>
                </c:pt>
                <c:pt idx="6">
                  <c:v>0.06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E632-450F-86FD-08932343C3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31319128"/>
        <c:axId val="1"/>
      </c:lineChart>
      <c:catAx>
        <c:axId val="6313191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Year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>
                <a:lumMod val="15000"/>
                <a:lumOff val="85000"/>
              </a:sys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ax val="0.3"/>
        </c:scaling>
        <c:delete val="0"/>
        <c:axPos val="l"/>
        <c:majorGridlines>
          <c:spPr>
            <a:ln w="9525" cap="flat" cmpd="sng" algn="ctr">
              <a:solidFill>
                <a:sysClr val="windowText" lastClr="000000">
                  <a:lumMod val="15000"/>
                  <a:lumOff val="85000"/>
                </a:sys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Theil Index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1319128"/>
        <c:crosses val="autoZero"/>
        <c:crossBetween val="between"/>
        <c:majorUnit val="0.05"/>
        <c:minorUnit val="0.01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9.8076923076923103E-2"/>
          <c:y val="0.86642521670919803"/>
          <c:w val="0.9"/>
          <c:h val="0.10640049249833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ysClr val="window" lastClr="FFFFFF"/>
    </a:solidFill>
    <a:ln w="9525" cap="flat" cmpd="sng" algn="ctr">
      <a:solidFill>
        <a:sysClr val="windowText" lastClr="000000">
          <a:lumMod val="15000"/>
          <a:lumOff val="85000"/>
        </a:sysClr>
      </a:solidFill>
      <a:round/>
    </a:ln>
    <a:effectLst/>
  </c:spPr>
  <c:txPr>
    <a:bodyPr/>
    <a:lstStyle/>
    <a:p>
      <a:pPr>
        <a:defRPr lang="zh-CN"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20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BPK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2000" b="0" i="0" u="none" strike="noStrike" kern="1200" cap="none" spc="0" normalizeH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1176892267079331"/>
          <c:y val="6.1442789948286169E-2"/>
          <c:w val="0.77042909363911805"/>
          <c:h val="0.57541256304395005"/>
        </c:manualLayout>
      </c:layout>
      <c:lineChart>
        <c:grouping val="standard"/>
        <c:varyColors val="0"/>
        <c:ser>
          <c:idx val="0"/>
          <c:order val="0"/>
          <c:tx>
            <c:strRef>
              <c:f>Sheet1!$J$10</c:f>
              <c:strCache>
                <c:ptCount val="1"/>
                <c:pt idx="0">
                  <c:v>central</c:v>
                </c:pt>
              </c:strCache>
            </c:strRef>
          </c:tx>
          <c:spPr>
            <a:ln w="38100" cap="rnd">
              <a:solidFill>
                <a:srgbClr val="4472C4"/>
              </a:solidFill>
              <a:round/>
            </a:ln>
            <a:effectLst/>
          </c:spPr>
          <c:marker>
            <c:symbol val="none"/>
          </c:marker>
          <c:cat>
            <c:numRef>
              <c:f>Sheet1!$K$9:$Q$9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Sheet1!$K$10:$Q$10</c:f>
              <c:numCache>
                <c:formatCode>0.00</c:formatCode>
                <c:ptCount val="7"/>
                <c:pt idx="0">
                  <c:v>0.08</c:v>
                </c:pt>
                <c:pt idx="1">
                  <c:v>8.0879999999999994E-2</c:v>
                </c:pt>
                <c:pt idx="2">
                  <c:v>7.6630000000000004E-2</c:v>
                </c:pt>
                <c:pt idx="3">
                  <c:v>7.7880000000000005E-2</c:v>
                </c:pt>
                <c:pt idx="4">
                  <c:v>8.0560000000000007E-2</c:v>
                </c:pt>
                <c:pt idx="5">
                  <c:v>8.1439999999999999E-2</c:v>
                </c:pt>
                <c:pt idx="6">
                  <c:v>8.3799999999999999E-2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A56-4429-B56D-8140C8E781A0}"/>
            </c:ext>
          </c:extLst>
        </c:ser>
        <c:ser>
          <c:idx val="1"/>
          <c:order val="1"/>
          <c:tx>
            <c:strRef>
              <c:f>Sheet1!$J$11</c:f>
              <c:strCache>
                <c:ptCount val="1"/>
                <c:pt idx="0">
                  <c:v>dual-semi</c:v>
                </c:pt>
              </c:strCache>
            </c:strRef>
          </c:tx>
          <c:spPr>
            <a:ln w="38100" cap="rnd">
              <a:solidFill>
                <a:srgbClr val="ED7D31"/>
              </a:solidFill>
              <a:round/>
            </a:ln>
            <a:effectLst/>
          </c:spPr>
          <c:marker>
            <c:symbol val="none"/>
          </c:marker>
          <c:cat>
            <c:numRef>
              <c:f>Sheet1!$K$9:$Q$9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Sheet1!$K$11:$Q$11</c:f>
              <c:numCache>
                <c:formatCode>0.00</c:formatCode>
                <c:ptCount val="7"/>
                <c:pt idx="0">
                  <c:v>0.01</c:v>
                </c:pt>
                <c:pt idx="1">
                  <c:v>5.0000000000000001E-4</c:v>
                </c:pt>
                <c:pt idx="2">
                  <c:v>3.8000000000000002E-4</c:v>
                </c:pt>
                <c:pt idx="3">
                  <c:v>3.1E-4</c:v>
                </c:pt>
                <c:pt idx="4">
                  <c:v>7.7999999999999999E-4</c:v>
                </c:pt>
                <c:pt idx="5">
                  <c:v>8.1999999999999998E-4</c:v>
                </c:pt>
                <c:pt idx="6">
                  <c:v>0.01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A56-4429-B56D-8140C8E781A0}"/>
            </c:ext>
          </c:extLst>
        </c:ser>
        <c:ser>
          <c:idx val="2"/>
          <c:order val="2"/>
          <c:tx>
            <c:strRef>
              <c:f>Sheet1!$J$12</c:f>
              <c:strCache>
                <c:ptCount val="1"/>
                <c:pt idx="0">
                  <c:v>rural</c:v>
                </c:pt>
              </c:strCache>
            </c:strRef>
          </c:tx>
          <c:spPr>
            <a:ln w="38100" cap="rnd">
              <a:solidFill>
                <a:srgbClr val="A5A5A5"/>
              </a:solidFill>
              <a:round/>
            </a:ln>
            <a:effectLst/>
          </c:spPr>
          <c:marker>
            <c:symbol val="none"/>
          </c:marker>
          <c:cat>
            <c:numRef>
              <c:f>Sheet1!$K$9:$Q$9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Sheet1!$K$12:$Q$12</c:f>
              <c:numCache>
                <c:formatCode>0.00</c:formatCode>
                <c:ptCount val="7"/>
                <c:pt idx="0">
                  <c:v>0.06</c:v>
                </c:pt>
                <c:pt idx="1">
                  <c:v>6.3479999999999995E-2</c:v>
                </c:pt>
                <c:pt idx="2">
                  <c:v>0.05</c:v>
                </c:pt>
                <c:pt idx="3">
                  <c:v>5.0700000000000002E-2</c:v>
                </c:pt>
                <c:pt idx="4">
                  <c:v>3.9849999999999997E-2</c:v>
                </c:pt>
                <c:pt idx="5">
                  <c:v>3.5659999999999997E-2</c:v>
                </c:pt>
                <c:pt idx="6">
                  <c:v>0.03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A56-4429-B56D-8140C8E781A0}"/>
            </c:ext>
          </c:extLst>
        </c:ser>
        <c:ser>
          <c:idx val="3"/>
          <c:order val="3"/>
          <c:tx>
            <c:strRef>
              <c:f>Sheet1!$J$13</c:f>
              <c:strCache>
                <c:ptCount val="1"/>
                <c:pt idx="0">
                  <c:v>total</c:v>
                </c:pt>
              </c:strCache>
            </c:strRef>
          </c:tx>
          <c:spPr>
            <a:ln w="3810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cat>
            <c:numRef>
              <c:f>Sheet1!$K$9:$Q$9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Sheet1!$K$13:$Q$13</c:f>
              <c:numCache>
                <c:formatCode>General</c:formatCode>
                <c:ptCount val="7"/>
                <c:pt idx="0">
                  <c:v>0.19</c:v>
                </c:pt>
                <c:pt idx="1">
                  <c:v>0.19</c:v>
                </c:pt>
                <c:pt idx="2">
                  <c:v>0.19</c:v>
                </c:pt>
                <c:pt idx="3">
                  <c:v>0.19</c:v>
                </c:pt>
                <c:pt idx="4">
                  <c:v>0.19</c:v>
                </c:pt>
                <c:pt idx="5">
                  <c:v>0.19</c:v>
                </c:pt>
                <c:pt idx="6">
                  <c:v>0.18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A56-4429-B56D-8140C8E781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31064064"/>
        <c:axId val="1"/>
      </c:lineChart>
      <c:catAx>
        <c:axId val="6310640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Year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>
                <a:lumMod val="15000"/>
                <a:lumOff val="85000"/>
              </a:sys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ax val="0.3"/>
        </c:scaling>
        <c:delete val="0"/>
        <c:axPos val="l"/>
        <c:majorGridlines>
          <c:spPr>
            <a:ln w="9525" cap="flat" cmpd="sng" algn="ctr">
              <a:solidFill>
                <a:sysClr val="windowText" lastClr="000000">
                  <a:lumMod val="15000"/>
                  <a:lumOff val="85000"/>
                </a:sys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Theil Index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1064064"/>
        <c:crosses val="autoZero"/>
        <c:crossBetween val="between"/>
        <c:majorUnit val="0.05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7.7241860090984701E-2"/>
          <c:y val="0.86697185722447201"/>
          <c:w val="0.89999982124822397"/>
          <c:h val="0.1064676221466009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ysClr val="window" lastClr="FFFFFF"/>
    </a:solidFill>
    <a:ln w="9525" cap="flat" cmpd="sng" algn="ctr">
      <a:solidFill>
        <a:sysClr val="windowText" lastClr="000000">
          <a:lumMod val="15000"/>
          <a:lumOff val="85000"/>
        </a:sysClr>
      </a:solidFill>
      <a:round/>
    </a:ln>
    <a:effectLst/>
  </c:spPr>
  <c:txPr>
    <a:bodyPr/>
    <a:lstStyle/>
    <a:p>
      <a:pPr>
        <a:defRPr lang="zh-CN"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20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TPK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2000" b="0" i="0" u="none" strike="noStrike" kern="1200" cap="none" spc="0" normalizeH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15918615195932"/>
          <c:y val="0.111621468602456"/>
          <c:w val="0.76178206034747997"/>
          <c:h val="0.56027349009910099"/>
        </c:manualLayout>
      </c:layout>
      <c:lineChart>
        <c:grouping val="standard"/>
        <c:varyColors val="0"/>
        <c:ser>
          <c:idx val="0"/>
          <c:order val="0"/>
          <c:tx>
            <c:strRef>
              <c:f>Sheet1!$J$18</c:f>
              <c:strCache>
                <c:ptCount val="1"/>
                <c:pt idx="0">
                  <c:v>central</c:v>
                </c:pt>
              </c:strCache>
            </c:strRef>
          </c:tx>
          <c:spPr>
            <a:ln w="38100" cap="rnd">
              <a:solidFill>
                <a:srgbClr val="4472C4"/>
              </a:solidFill>
              <a:round/>
            </a:ln>
            <a:effectLst/>
          </c:spPr>
          <c:marker>
            <c:symbol val="none"/>
          </c:marker>
          <c:cat>
            <c:numRef>
              <c:f>Sheet1!$K$17:$Q$17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Sheet1!$K$18:$Q$18</c:f>
              <c:numCache>
                <c:formatCode>0.00</c:formatCode>
                <c:ptCount val="7"/>
                <c:pt idx="0">
                  <c:v>0.10965999999999999</c:v>
                </c:pt>
                <c:pt idx="1">
                  <c:v>0.10353</c:v>
                </c:pt>
                <c:pt idx="2">
                  <c:v>0.10253</c:v>
                </c:pt>
                <c:pt idx="3">
                  <c:v>0.10088999999999999</c:v>
                </c:pt>
                <c:pt idx="4">
                  <c:v>9.8879999999999996E-2</c:v>
                </c:pt>
                <c:pt idx="5">
                  <c:v>9.2369999999999994E-2</c:v>
                </c:pt>
                <c:pt idx="6">
                  <c:v>9.9400000000000002E-2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720-4132-A429-C926224C8854}"/>
            </c:ext>
          </c:extLst>
        </c:ser>
        <c:ser>
          <c:idx val="1"/>
          <c:order val="1"/>
          <c:tx>
            <c:strRef>
              <c:f>Sheet1!$J$19</c:f>
              <c:strCache>
                <c:ptCount val="1"/>
                <c:pt idx="0">
                  <c:v>dual-semi</c:v>
                </c:pt>
              </c:strCache>
            </c:strRef>
          </c:tx>
          <c:spPr>
            <a:ln w="38100" cap="rnd">
              <a:solidFill>
                <a:srgbClr val="ED7D31"/>
              </a:solidFill>
              <a:round/>
            </a:ln>
            <a:effectLst/>
          </c:spPr>
          <c:marker>
            <c:symbol val="none"/>
          </c:marker>
          <c:cat>
            <c:numRef>
              <c:f>Sheet1!$K$17:$Q$17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Sheet1!$K$19:$Q$19</c:f>
              <c:numCache>
                <c:formatCode>0.00</c:formatCode>
                <c:ptCount val="7"/>
                <c:pt idx="0">
                  <c:v>1.6199999999999999E-3</c:v>
                </c:pt>
                <c:pt idx="1">
                  <c:v>1.91E-3</c:v>
                </c:pt>
                <c:pt idx="2">
                  <c:v>1.5E-3</c:v>
                </c:pt>
                <c:pt idx="3">
                  <c:v>5.5999999999999995E-4</c:v>
                </c:pt>
                <c:pt idx="4">
                  <c:v>8.0999999999999996E-4</c:v>
                </c:pt>
                <c:pt idx="5">
                  <c:v>1.1199999999999999E-3</c:v>
                </c:pt>
                <c:pt idx="6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720-4132-A429-C926224C8854}"/>
            </c:ext>
          </c:extLst>
        </c:ser>
        <c:ser>
          <c:idx val="2"/>
          <c:order val="2"/>
          <c:tx>
            <c:strRef>
              <c:f>Sheet1!$J$20</c:f>
              <c:strCache>
                <c:ptCount val="1"/>
                <c:pt idx="0">
                  <c:v>rural</c:v>
                </c:pt>
              </c:strCache>
            </c:strRef>
          </c:tx>
          <c:spPr>
            <a:ln w="38100" cap="rnd">
              <a:solidFill>
                <a:srgbClr val="A5A5A5"/>
              </a:solidFill>
              <a:round/>
            </a:ln>
            <a:effectLst/>
          </c:spPr>
          <c:marker>
            <c:symbol val="none"/>
          </c:marker>
          <c:cat>
            <c:numRef>
              <c:f>Sheet1!$K$17:$Q$17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Sheet1!$K$20:$Q$20</c:f>
              <c:numCache>
                <c:formatCode>0.00</c:formatCode>
                <c:ptCount val="7"/>
                <c:pt idx="0">
                  <c:v>3.6549999999999999E-2</c:v>
                </c:pt>
                <c:pt idx="1">
                  <c:v>2.9739999999999999E-2</c:v>
                </c:pt>
                <c:pt idx="2">
                  <c:v>2.681E-2</c:v>
                </c:pt>
                <c:pt idx="3">
                  <c:v>0.04</c:v>
                </c:pt>
                <c:pt idx="4">
                  <c:v>2.6689999999999998E-2</c:v>
                </c:pt>
                <c:pt idx="5">
                  <c:v>2.657E-2</c:v>
                </c:pt>
                <c:pt idx="6">
                  <c:v>0.03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720-4132-A429-C926224C8854}"/>
            </c:ext>
          </c:extLst>
        </c:ser>
        <c:ser>
          <c:idx val="3"/>
          <c:order val="3"/>
          <c:tx>
            <c:strRef>
              <c:f>Sheet1!$J$21</c:f>
              <c:strCache>
                <c:ptCount val="1"/>
                <c:pt idx="0">
                  <c:v>total</c:v>
                </c:pt>
              </c:strCache>
            </c:strRef>
          </c:tx>
          <c:spPr>
            <a:ln w="3810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cat>
            <c:numRef>
              <c:f>Sheet1!$K$17:$Q$17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Sheet1!$K$21:$Q$21</c:f>
              <c:numCache>
                <c:formatCode>General</c:formatCode>
                <c:ptCount val="7"/>
                <c:pt idx="0">
                  <c:v>0.23</c:v>
                </c:pt>
                <c:pt idx="1">
                  <c:v>0.22</c:v>
                </c:pt>
                <c:pt idx="2">
                  <c:v>0.22</c:v>
                </c:pt>
                <c:pt idx="3">
                  <c:v>0.2</c:v>
                </c:pt>
                <c:pt idx="4">
                  <c:v>0.21</c:v>
                </c:pt>
                <c:pt idx="5">
                  <c:v>0.21</c:v>
                </c:pt>
                <c:pt idx="6">
                  <c:v>0.21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720-4132-A429-C926224C88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31067016"/>
        <c:axId val="1"/>
      </c:lineChart>
      <c:catAx>
        <c:axId val="6310670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Year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>
                <a:lumMod val="15000"/>
                <a:lumOff val="85000"/>
              </a:sys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ax val="0.3"/>
        </c:scaling>
        <c:delete val="0"/>
        <c:axPos val="l"/>
        <c:minorGridlines>
          <c:spPr>
            <a:ln w="9525" cap="flat" cmpd="sng" algn="ctr">
              <a:solidFill>
                <a:sysClr val="windowText" lastClr="000000">
                  <a:lumMod val="5000"/>
                  <a:lumOff val="95000"/>
                </a:sys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Theil Index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1067016"/>
        <c:crosses val="autoZero"/>
        <c:crossBetween val="between"/>
        <c:majorUnit val="0.05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"/>
          <c:y val="0.79452036344680899"/>
          <c:w val="1"/>
          <c:h val="0.2043093837217130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ysClr val="window" lastClr="FFFFFF"/>
    </a:solidFill>
    <a:ln w="9525" cap="flat" cmpd="sng" algn="ctr">
      <a:solidFill>
        <a:sysClr val="windowText" lastClr="000000">
          <a:lumMod val="15000"/>
          <a:lumOff val="85000"/>
        </a:sysClr>
      </a:solidFill>
      <a:round/>
    </a:ln>
    <a:effectLst/>
  </c:spPr>
  <c:txPr>
    <a:bodyPr/>
    <a:lstStyle/>
    <a:p>
      <a:pPr>
        <a:defRPr lang="zh-CN"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20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DPK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2000" b="0" i="0" u="none" strike="noStrike" kern="1200" cap="none" spc="0" normalizeH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995883535948381"/>
          <c:y val="0.10291098923618226"/>
          <c:w val="0.80803954205073403"/>
          <c:h val="0.54604047378048304"/>
        </c:manualLayout>
      </c:layout>
      <c:lineChart>
        <c:grouping val="standard"/>
        <c:varyColors val="0"/>
        <c:ser>
          <c:idx val="0"/>
          <c:order val="0"/>
          <c:tx>
            <c:strRef>
              <c:f>Sheet1!$J$25</c:f>
              <c:strCache>
                <c:ptCount val="1"/>
                <c:pt idx="0">
                  <c:v>central</c:v>
                </c:pt>
              </c:strCache>
            </c:strRef>
          </c:tx>
          <c:spPr>
            <a:ln w="38100" cap="rnd">
              <a:solidFill>
                <a:srgbClr val="4472C4"/>
              </a:solidFill>
              <a:round/>
            </a:ln>
            <a:effectLst/>
          </c:spPr>
          <c:marker>
            <c:symbol val="none"/>
          </c:marker>
          <c:cat>
            <c:numRef>
              <c:f>Sheet1!$K$24:$Q$24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Sheet1!$K$25:$Q$25</c:f>
              <c:numCache>
                <c:formatCode>0.00</c:formatCode>
                <c:ptCount val="7"/>
                <c:pt idx="0">
                  <c:v>9.6119999999999997E-2</c:v>
                </c:pt>
                <c:pt idx="1">
                  <c:v>9.6850000000000006E-2</c:v>
                </c:pt>
                <c:pt idx="2">
                  <c:v>9.4399999999999998E-2</c:v>
                </c:pt>
                <c:pt idx="3">
                  <c:v>9.6750000000000003E-2</c:v>
                </c:pt>
                <c:pt idx="4">
                  <c:v>0.1</c:v>
                </c:pt>
                <c:pt idx="5">
                  <c:v>8.9410000000000003E-2</c:v>
                </c:pt>
                <c:pt idx="6">
                  <c:v>9.8820000000000005E-2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6C2-4D54-8B80-5C436BC562DA}"/>
            </c:ext>
          </c:extLst>
        </c:ser>
        <c:ser>
          <c:idx val="1"/>
          <c:order val="1"/>
          <c:tx>
            <c:strRef>
              <c:f>Sheet1!$J$26</c:f>
              <c:strCache>
                <c:ptCount val="1"/>
                <c:pt idx="0">
                  <c:v>dual-semi</c:v>
                </c:pt>
              </c:strCache>
            </c:strRef>
          </c:tx>
          <c:spPr>
            <a:ln w="38100" cap="rnd">
              <a:solidFill>
                <a:srgbClr val="ED7D31"/>
              </a:solidFill>
              <a:round/>
            </a:ln>
            <a:effectLst/>
          </c:spPr>
          <c:marker>
            <c:symbol val="none"/>
          </c:marker>
          <c:cat>
            <c:numRef>
              <c:f>Sheet1!$K$24:$Q$24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Sheet1!$K$26:$Q$26</c:f>
              <c:numCache>
                <c:formatCode>0.00</c:formatCode>
                <c:ptCount val="7"/>
                <c:pt idx="0">
                  <c:v>2.5200000000000001E-3</c:v>
                </c:pt>
                <c:pt idx="1">
                  <c:v>3.3999999999999998E-3</c:v>
                </c:pt>
                <c:pt idx="2">
                  <c:v>1.1800000000000001E-3</c:v>
                </c:pt>
                <c:pt idx="3">
                  <c:v>1.5299999999999999E-3</c:v>
                </c:pt>
                <c:pt idx="4">
                  <c:v>1.6199999999999999E-3</c:v>
                </c:pt>
                <c:pt idx="5">
                  <c:v>2.1900000000000001E-3</c:v>
                </c:pt>
                <c:pt idx="6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6C2-4D54-8B80-5C436BC562DA}"/>
            </c:ext>
          </c:extLst>
        </c:ser>
        <c:ser>
          <c:idx val="2"/>
          <c:order val="2"/>
          <c:tx>
            <c:strRef>
              <c:f>Sheet1!$J$27</c:f>
              <c:strCache>
                <c:ptCount val="1"/>
                <c:pt idx="0">
                  <c:v>rural</c:v>
                </c:pt>
              </c:strCache>
            </c:strRef>
          </c:tx>
          <c:spPr>
            <a:ln w="38100" cap="rnd">
              <a:solidFill>
                <a:srgbClr val="A5A5A5"/>
              </a:solidFill>
              <a:round/>
            </a:ln>
            <a:effectLst/>
          </c:spPr>
          <c:marker>
            <c:symbol val="none"/>
          </c:marker>
          <c:cat>
            <c:numRef>
              <c:f>Sheet1!$K$24:$Q$24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Sheet1!$K$27:$Q$27</c:f>
              <c:numCache>
                <c:formatCode>0.00</c:formatCode>
                <c:ptCount val="7"/>
                <c:pt idx="0">
                  <c:v>2.7040000000000002E-2</c:v>
                </c:pt>
                <c:pt idx="1">
                  <c:v>2.1749999999999999E-2</c:v>
                </c:pt>
                <c:pt idx="2">
                  <c:v>2.0129999999999999E-2</c:v>
                </c:pt>
                <c:pt idx="3">
                  <c:v>0.04</c:v>
                </c:pt>
                <c:pt idx="4">
                  <c:v>0.04</c:v>
                </c:pt>
                <c:pt idx="5">
                  <c:v>0.04</c:v>
                </c:pt>
                <c:pt idx="6">
                  <c:v>0.03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6C2-4D54-8B80-5C436BC562DA}"/>
            </c:ext>
          </c:extLst>
        </c:ser>
        <c:ser>
          <c:idx val="3"/>
          <c:order val="3"/>
          <c:tx>
            <c:strRef>
              <c:f>Sheet1!$J$28</c:f>
              <c:strCache>
                <c:ptCount val="1"/>
                <c:pt idx="0">
                  <c:v>total</c:v>
                </c:pt>
              </c:strCache>
            </c:strRef>
          </c:tx>
          <c:spPr>
            <a:ln w="3810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cat>
            <c:numRef>
              <c:f>Sheet1!$K$24:$Q$24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Sheet1!$K$28:$Q$28</c:f>
              <c:numCache>
                <c:formatCode>General</c:formatCode>
                <c:ptCount val="7"/>
                <c:pt idx="0">
                  <c:v>0.19</c:v>
                </c:pt>
                <c:pt idx="1">
                  <c:v>0.19</c:v>
                </c:pt>
                <c:pt idx="2">
                  <c:v>0.19</c:v>
                </c:pt>
                <c:pt idx="3">
                  <c:v>0.17</c:v>
                </c:pt>
                <c:pt idx="4">
                  <c:v>0.18</c:v>
                </c:pt>
                <c:pt idx="5">
                  <c:v>0.18</c:v>
                </c:pt>
                <c:pt idx="6">
                  <c:v>0.2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6C2-4D54-8B80-5C436BC562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31062096"/>
        <c:axId val="1"/>
      </c:lineChart>
      <c:catAx>
        <c:axId val="6310620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Year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>
                <a:lumMod val="15000"/>
                <a:lumOff val="85000"/>
              </a:sys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"/>
        <c:crossesAt val="0"/>
        <c:auto val="1"/>
        <c:lblAlgn val="ctr"/>
        <c:lblOffset val="100"/>
        <c:noMultiLvlLbl val="0"/>
      </c:catAx>
      <c:valAx>
        <c:axId val="1"/>
        <c:scaling>
          <c:orientation val="minMax"/>
          <c:max val="0.3"/>
          <c:min val="0"/>
        </c:scaling>
        <c:delete val="0"/>
        <c:axPos val="l"/>
        <c:majorGridlines>
          <c:spPr>
            <a:ln w="9525" cap="flat" cmpd="sng" algn="ctr">
              <a:solidFill>
                <a:sysClr val="windowText" lastClr="000000">
                  <a:lumMod val="15000"/>
                  <a:lumOff val="85000"/>
                </a:sys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Theil Index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1062096"/>
        <c:crosses val="autoZero"/>
        <c:crossBetween val="between"/>
        <c:majorUnit val="0.05"/>
        <c:minorUnit val="0.01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4.1432939323364198E-2"/>
          <c:y val="0.83187070268254104"/>
          <c:w val="0.89999983135541295"/>
          <c:h val="0.11755568171533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ysClr val="window" lastClr="FFFFFF"/>
    </a:solidFill>
    <a:ln w="9525" cap="flat" cmpd="sng" algn="ctr">
      <a:solidFill>
        <a:sysClr val="windowText" lastClr="000000">
          <a:lumMod val="15000"/>
          <a:lumOff val="85000"/>
        </a:sysClr>
      </a:solidFill>
      <a:round/>
    </a:ln>
    <a:effectLst/>
  </c:spPr>
  <c:txPr>
    <a:bodyPr/>
    <a:lstStyle/>
    <a:p>
      <a:pPr>
        <a:defRPr lang="zh-CN"/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20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NPK</a:t>
            </a:r>
            <a:endParaRPr 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2000" b="0" i="0" u="none" strike="noStrike" kern="1200" cap="none" spc="0" normalizeH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250483078104401"/>
          <c:y val="0.17756665761607399"/>
          <c:w val="0.81521770005267602"/>
          <c:h val="0.53225068056084102"/>
        </c:manualLayout>
      </c:layout>
      <c:lineChart>
        <c:grouping val="standard"/>
        <c:varyColors val="0"/>
        <c:ser>
          <c:idx val="0"/>
          <c:order val="0"/>
          <c:tx>
            <c:strRef>
              <c:f>Sheet1!$J$33</c:f>
              <c:strCache>
                <c:ptCount val="1"/>
                <c:pt idx="0">
                  <c:v>central</c:v>
                </c:pt>
              </c:strCache>
            </c:strRef>
          </c:tx>
          <c:spPr>
            <a:ln w="38100" cap="rnd">
              <a:solidFill>
                <a:srgbClr val="4472C4"/>
              </a:solidFill>
              <a:round/>
            </a:ln>
            <a:effectLst/>
          </c:spPr>
          <c:marker>
            <c:symbol val="none"/>
          </c:marker>
          <c:cat>
            <c:numRef>
              <c:f>Sheet1!$K$32:$Q$32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Sheet1!$K$33:$Q$33</c:f>
              <c:numCache>
                <c:formatCode>0.00</c:formatCode>
                <c:ptCount val="7"/>
                <c:pt idx="0">
                  <c:v>0.1</c:v>
                </c:pt>
                <c:pt idx="1">
                  <c:v>0.10514</c:v>
                </c:pt>
                <c:pt idx="2">
                  <c:v>0.10382</c:v>
                </c:pt>
                <c:pt idx="3">
                  <c:v>0.10261000000000001</c:v>
                </c:pt>
                <c:pt idx="4">
                  <c:v>9.7199999999999995E-2</c:v>
                </c:pt>
                <c:pt idx="5">
                  <c:v>0.1</c:v>
                </c:pt>
                <c:pt idx="6">
                  <c:v>9.8449999999999996E-2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324-4006-83B1-0517CC5FD1C0}"/>
            </c:ext>
          </c:extLst>
        </c:ser>
        <c:ser>
          <c:idx val="1"/>
          <c:order val="1"/>
          <c:tx>
            <c:strRef>
              <c:f>Sheet1!$J$34</c:f>
              <c:strCache>
                <c:ptCount val="1"/>
                <c:pt idx="0">
                  <c:v>dual-semi</c:v>
                </c:pt>
              </c:strCache>
            </c:strRef>
          </c:tx>
          <c:spPr>
            <a:ln w="38100" cap="rnd">
              <a:solidFill>
                <a:srgbClr val="ED7D31"/>
              </a:solidFill>
              <a:round/>
            </a:ln>
            <a:effectLst/>
          </c:spPr>
          <c:marker>
            <c:symbol val="none"/>
          </c:marker>
          <c:cat>
            <c:numRef>
              <c:f>Sheet1!$K$32:$Q$32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Sheet1!$K$34:$Q$34</c:f>
              <c:numCache>
                <c:formatCode>0.00</c:formatCode>
                <c:ptCount val="7"/>
                <c:pt idx="0">
                  <c:v>2.5000000000000001E-4</c:v>
                </c:pt>
                <c:pt idx="1">
                  <c:v>8.3000000000000001E-4</c:v>
                </c:pt>
                <c:pt idx="2">
                  <c:v>9.3999999999999997E-4</c:v>
                </c:pt>
                <c:pt idx="3">
                  <c:v>0</c:v>
                </c:pt>
                <c:pt idx="4">
                  <c:v>5.0000000000000002E-5</c:v>
                </c:pt>
                <c:pt idx="5">
                  <c:v>8.0000000000000007E-5</c:v>
                </c:pt>
                <c:pt idx="6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324-4006-83B1-0517CC5FD1C0}"/>
            </c:ext>
          </c:extLst>
        </c:ser>
        <c:ser>
          <c:idx val="2"/>
          <c:order val="2"/>
          <c:tx>
            <c:strRef>
              <c:f>Sheet1!$J$35</c:f>
              <c:strCache>
                <c:ptCount val="1"/>
                <c:pt idx="0">
                  <c:v>rural</c:v>
                </c:pt>
              </c:strCache>
            </c:strRef>
          </c:tx>
          <c:spPr>
            <a:ln w="38100" cap="rnd">
              <a:solidFill>
                <a:srgbClr val="A5A5A5"/>
              </a:solidFill>
              <a:round/>
            </a:ln>
            <a:effectLst/>
          </c:spPr>
          <c:marker>
            <c:symbol val="none"/>
          </c:marker>
          <c:cat>
            <c:numRef>
              <c:f>Sheet1!$K$32:$Q$32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Sheet1!$K$35:$Q$35</c:f>
              <c:numCache>
                <c:formatCode>0.00</c:formatCode>
                <c:ptCount val="7"/>
                <c:pt idx="0">
                  <c:v>0.05</c:v>
                </c:pt>
                <c:pt idx="1">
                  <c:v>3.6920000000000001E-2</c:v>
                </c:pt>
                <c:pt idx="2">
                  <c:v>0.04</c:v>
                </c:pt>
                <c:pt idx="3">
                  <c:v>0.04</c:v>
                </c:pt>
                <c:pt idx="4">
                  <c:v>0.04</c:v>
                </c:pt>
                <c:pt idx="5">
                  <c:v>2.588E-2</c:v>
                </c:pt>
                <c:pt idx="6">
                  <c:v>0.03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324-4006-83B1-0517CC5FD1C0}"/>
            </c:ext>
          </c:extLst>
        </c:ser>
        <c:ser>
          <c:idx val="3"/>
          <c:order val="3"/>
          <c:tx>
            <c:strRef>
              <c:f>Sheet1!$J$36</c:f>
              <c:strCache>
                <c:ptCount val="1"/>
                <c:pt idx="0">
                  <c:v>total</c:v>
                </c:pt>
              </c:strCache>
            </c:strRef>
          </c:tx>
          <c:spPr>
            <a:ln w="3810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cat>
            <c:numRef>
              <c:f>Sheet1!$K$32:$Q$32</c:f>
              <c:numCache>
                <c:formatCode>General</c:formatCode>
                <c:ptCount val="7"/>
                <c:pt idx="0">
                  <c:v>2010</c:v>
                </c:pt>
                <c:pt idx="1">
                  <c:v>2011</c:v>
                </c:pt>
                <c:pt idx="2">
                  <c:v>2012</c:v>
                </c:pt>
                <c:pt idx="3">
                  <c:v>2013</c:v>
                </c:pt>
                <c:pt idx="4">
                  <c:v>2014</c:v>
                </c:pt>
                <c:pt idx="5">
                  <c:v>2015</c:v>
                </c:pt>
                <c:pt idx="6">
                  <c:v>2016</c:v>
                </c:pt>
              </c:numCache>
            </c:numRef>
          </c:cat>
          <c:val>
            <c:numRef>
              <c:f>Sheet1!$K$36:$Q$36</c:f>
              <c:numCache>
                <c:formatCode>General</c:formatCode>
                <c:ptCount val="7"/>
                <c:pt idx="0">
                  <c:v>0.24</c:v>
                </c:pt>
                <c:pt idx="1">
                  <c:v>0.24</c:v>
                </c:pt>
                <c:pt idx="2">
                  <c:v>0.23</c:v>
                </c:pt>
                <c:pt idx="3">
                  <c:v>0.22</c:v>
                </c:pt>
                <c:pt idx="4">
                  <c:v>0.22</c:v>
                </c:pt>
                <c:pt idx="5">
                  <c:v>0.23</c:v>
                </c:pt>
                <c:pt idx="6">
                  <c:v>0.23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324-4006-83B1-0517CC5FD1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631313224"/>
        <c:axId val="1"/>
      </c:lineChart>
      <c:catAx>
        <c:axId val="6313132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Year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0.5231630216598"/>
              <c:y val="0.829623961581605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>
                <a:lumMod val="15000"/>
                <a:lumOff val="85000"/>
              </a:sys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cap="none" spc="0" normalizeH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ax val="0.3"/>
          <c:min val="0"/>
        </c:scaling>
        <c:delete val="0"/>
        <c:axPos val="l"/>
        <c:majorGridlines>
          <c:spPr>
            <a:ln w="9525" cap="flat" cmpd="sng" algn="ctr">
              <a:solidFill>
                <a:sysClr val="windowText" lastClr="000000">
                  <a:lumMod val="15000"/>
                  <a:lumOff val="85000"/>
                </a:sys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Theil Index</a:t>
                </a:r>
                <a:endParaRPr lang="zh-C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lang="zh-CN" sz="900" b="0" i="0" u="none" strike="noStrike" kern="1200" cap="all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1313224"/>
        <c:crosses val="autoZero"/>
        <c:crossBetween val="between"/>
        <c:majorUnit val="0.05"/>
        <c:minorUnit val="0.01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6.1990407673860902E-2"/>
          <c:y val="0.85803475427640497"/>
          <c:w val="0.89999983314228105"/>
          <c:h val="0.11755568171533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ysClr val="window" lastClr="FFFFFF"/>
    </a:solidFill>
    <a:ln w="9525" cap="flat" cmpd="sng" algn="ctr">
      <a:solidFill>
        <a:sysClr val="windowText" lastClr="000000">
          <a:lumMod val="15000"/>
          <a:lumOff val="85000"/>
        </a:sysClr>
      </a:solidFill>
      <a:round/>
    </a:ln>
    <a:effectLst/>
  </c:spPr>
  <c:txPr>
    <a:bodyPr/>
    <a:lstStyle/>
    <a:p>
      <a:pPr>
        <a:defRPr lang="zh-CN"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5">
  <cs:axisTitle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 cap="all"/>
  </cs:axisTitle>
  <cs:category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chartArea>
  <cs:dataLabel>
    <cs:lnRef idx="0"/>
    <cs:fillRef idx="0"/>
    <cs:effectRef idx="0"/>
    <cs:fontRef idx="minor">
      <a:sysClr val="windowText" lastClr="000000">
        <a:lumMod val="75000"/>
        <a:lumOff val="25000"/>
      </a:sysClr>
    </cs:fontRef>
    <cs:defRPr sz="900" kern="1200"/>
  </cs:dataLabel>
  <cs:dataLabelCallout>
    <cs:lnRef idx="0"/>
    <cs:fillRef idx="0"/>
    <cs:effectRef idx="0"/>
    <cs:fontRef idx="minor">
      <a:sysClr val="windowText" lastClr="000000">
        <a:lumMod val="75000"/>
        <a:lumOff val="25000"/>
      </a:sysClr>
    </cs:fontRef>
    <cs:spPr>
      <a:solidFill>
        <a:sysClr val="windowText" lastClr="000000">
          <a:lumMod val="15000"/>
          <a:lumOff val="85000"/>
        </a:sys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ysClr val="windowText" lastClr="000000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ysClr val="windowText" lastClr="000000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>
        <a:solidFill>
          <a:sysClr val="windowText" lastClr="000000">
            <a:lumMod val="15000"/>
            <a:lumOff val="85000"/>
          </a:sysClr>
        </a:solidFill>
      </a:ln>
    </cs:spPr>
    <cs:defRPr sz="900" kern="1200"/>
  </cs:dataTable>
  <cs:downBar>
    <cs:lnRef idx="0"/>
    <cs:fillRef idx="0"/>
    <cs:effectRef idx="0"/>
    <cs:fontRef idx="minor">
      <a:sysClr val="windowText" lastClr="000000"/>
    </cs:fontRef>
    <cs:spPr>
      <a:solidFill>
        <a:sysClr val="windowText" lastClr="000000">
          <a:lumMod val="75000"/>
          <a:lumOff val="25000"/>
        </a:sysClr>
      </a:solidFill>
      <a:ln w="9525">
        <a:solidFill>
          <a:sysClr val="windowText" lastClr="000000">
            <a:lumMod val="50000"/>
            <a:lumOff val="50000"/>
          </a:sysClr>
        </a:solidFill>
      </a:ln>
    </cs:spPr>
  </cs:downBar>
  <cs:drop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dropLine>
  <cs:errorBar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round/>
      </a:ln>
    </cs:spPr>
  </cs:errorBar>
  <cs:floor>
    <cs:lnRef idx="0"/>
    <cs:fillRef idx="0"/>
    <cs:effectRef idx="0"/>
    <cs:fontRef idx="minor">
      <a:sysClr val="windowText" lastClr="000000"/>
    </cs:fontRef>
  </cs:floor>
  <cs:gridlineMaj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</cs:gridlineMajor>
  <cs:gridlineMin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5000"/>
            <a:lumOff val="95000"/>
          </a:sysClr>
        </a:solidFill>
        <a:round/>
      </a:ln>
    </cs:spPr>
  </cs:gridlineMinor>
  <cs:hiLo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hiLoLine>
  <cs:leader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</a:ln>
    </cs:spPr>
  </cs:leaderLine>
  <cs:legend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legend>
  <cs:plotArea mods="allowNoFillOverride allowNoLineOverride">
    <cs:lnRef idx="0"/>
    <cs:fillRef idx="0"/>
    <cs:effectRef idx="0"/>
    <cs:fontRef idx="minor">
      <a:sysClr val="windowText" lastClr="000000"/>
    </cs:fontRef>
  </cs:plotArea>
  <cs:plotArea3D mods="allowNoFillOverride allowNoLineOverride">
    <cs:lnRef idx="0"/>
    <cs:fillRef idx="0"/>
    <cs:effectRef idx="0"/>
    <cs:fontRef idx="minor">
      <a:sysClr val="windowText" lastClr="000000"/>
    </cs:fontRef>
  </cs:plotArea3D>
  <cs:series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seriesAxis>
  <cs:series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  <a:round/>
      </a:ln>
    </cs:spPr>
  </cs:seriesLine>
  <cs:title>
    <cs:lnRef idx="0"/>
    <cs:fillRef idx="0"/>
    <cs:effectRef idx="0"/>
    <cs:fontRef idx="major">
      <a:sysClr val="windowText" lastClr="000000">
        <a:lumMod val="65000"/>
        <a:lumOff val="35000"/>
      </a:sys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ysClr val="windowText" lastClr="000000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trendlineLabel>
  <cs:upBar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>
        <a:solidFill>
          <a:sysClr val="windowText" lastClr="000000">
            <a:lumMod val="50000"/>
            <a:lumOff val="50000"/>
          </a:sysClr>
        </a:solidFill>
      </a:ln>
    </cs:spPr>
  </cs:upBar>
  <cs:valueAxis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valueAxis>
  <cs:wall>
    <cs:lnRef idx="0"/>
    <cs:fillRef idx="0"/>
    <cs:effectRef idx="0"/>
    <cs:fontRef idx="minor">
      <a:sysClr val="windowText" lastClr="000000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35">
  <cs:axisTitle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 cap="all"/>
  </cs:axisTitle>
  <cs:category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chartArea>
  <cs:dataLabel>
    <cs:lnRef idx="0"/>
    <cs:fillRef idx="0"/>
    <cs:effectRef idx="0"/>
    <cs:fontRef idx="minor">
      <a:sysClr val="windowText" lastClr="000000">
        <a:lumMod val="75000"/>
        <a:lumOff val="25000"/>
      </a:sysClr>
    </cs:fontRef>
    <cs:defRPr sz="900" kern="1200"/>
  </cs:dataLabel>
  <cs:dataLabelCallout>
    <cs:lnRef idx="0"/>
    <cs:fillRef idx="0"/>
    <cs:effectRef idx="0"/>
    <cs:fontRef idx="minor">
      <a:sysClr val="windowText" lastClr="000000">
        <a:lumMod val="75000"/>
        <a:lumOff val="25000"/>
      </a:sysClr>
    </cs:fontRef>
    <cs:spPr>
      <a:solidFill>
        <a:sysClr val="windowText" lastClr="000000">
          <a:lumMod val="15000"/>
          <a:lumOff val="85000"/>
        </a:sys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ysClr val="windowText" lastClr="000000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ysClr val="windowText" lastClr="000000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>
        <a:solidFill>
          <a:sysClr val="windowText" lastClr="000000">
            <a:lumMod val="15000"/>
            <a:lumOff val="85000"/>
          </a:sysClr>
        </a:solidFill>
      </a:ln>
    </cs:spPr>
    <cs:defRPr sz="900" kern="1200"/>
  </cs:dataTable>
  <cs:downBar>
    <cs:lnRef idx="0"/>
    <cs:fillRef idx="0"/>
    <cs:effectRef idx="0"/>
    <cs:fontRef idx="minor">
      <a:sysClr val="windowText" lastClr="000000"/>
    </cs:fontRef>
    <cs:spPr>
      <a:solidFill>
        <a:sysClr val="windowText" lastClr="000000">
          <a:lumMod val="75000"/>
          <a:lumOff val="25000"/>
        </a:sysClr>
      </a:solidFill>
      <a:ln w="9525">
        <a:solidFill>
          <a:sysClr val="windowText" lastClr="000000">
            <a:lumMod val="50000"/>
            <a:lumOff val="50000"/>
          </a:sysClr>
        </a:solidFill>
      </a:ln>
    </cs:spPr>
  </cs:downBar>
  <cs:drop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dropLine>
  <cs:errorBar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round/>
      </a:ln>
    </cs:spPr>
  </cs:errorBar>
  <cs:floor>
    <cs:lnRef idx="0"/>
    <cs:fillRef idx="0"/>
    <cs:effectRef idx="0"/>
    <cs:fontRef idx="minor">
      <a:sysClr val="windowText" lastClr="000000"/>
    </cs:fontRef>
  </cs:floor>
  <cs:gridlineMaj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</cs:gridlineMajor>
  <cs:gridlineMin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5000"/>
            <a:lumOff val="95000"/>
          </a:sysClr>
        </a:solidFill>
        <a:round/>
      </a:ln>
    </cs:spPr>
  </cs:gridlineMinor>
  <cs:hiLo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hiLoLine>
  <cs:leader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</a:ln>
    </cs:spPr>
  </cs:leaderLine>
  <cs:legend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legend>
  <cs:plotArea mods="allowNoFillOverride allowNoLineOverride">
    <cs:lnRef idx="0"/>
    <cs:fillRef idx="0"/>
    <cs:effectRef idx="0"/>
    <cs:fontRef idx="minor">
      <a:sysClr val="windowText" lastClr="000000"/>
    </cs:fontRef>
  </cs:plotArea>
  <cs:plotArea3D mods="allowNoFillOverride allowNoLineOverride">
    <cs:lnRef idx="0"/>
    <cs:fillRef idx="0"/>
    <cs:effectRef idx="0"/>
    <cs:fontRef idx="minor">
      <a:sysClr val="windowText" lastClr="000000"/>
    </cs:fontRef>
  </cs:plotArea3D>
  <cs:series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seriesAxis>
  <cs:series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  <a:round/>
      </a:ln>
    </cs:spPr>
  </cs:seriesLine>
  <cs:title>
    <cs:lnRef idx="0"/>
    <cs:fillRef idx="0"/>
    <cs:effectRef idx="0"/>
    <cs:fontRef idx="major">
      <a:sysClr val="windowText" lastClr="000000">
        <a:lumMod val="65000"/>
        <a:lumOff val="35000"/>
      </a:sys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ysClr val="windowText" lastClr="000000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trendlineLabel>
  <cs:upBar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>
        <a:solidFill>
          <a:sysClr val="windowText" lastClr="000000">
            <a:lumMod val="50000"/>
            <a:lumOff val="50000"/>
          </a:sysClr>
        </a:solidFill>
      </a:ln>
    </cs:spPr>
  </cs:upBar>
  <cs:valueAxis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valueAxis>
  <cs:wall>
    <cs:lnRef idx="0"/>
    <cs:fillRef idx="0"/>
    <cs:effectRef idx="0"/>
    <cs:fontRef idx="minor">
      <a:sysClr val="windowText" lastClr="000000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35">
  <cs:axisTitle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 cap="all"/>
  </cs:axisTitle>
  <cs:category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chartArea>
  <cs:dataLabel>
    <cs:lnRef idx="0"/>
    <cs:fillRef idx="0"/>
    <cs:effectRef idx="0"/>
    <cs:fontRef idx="minor">
      <a:sysClr val="windowText" lastClr="000000">
        <a:lumMod val="75000"/>
        <a:lumOff val="25000"/>
      </a:sysClr>
    </cs:fontRef>
    <cs:defRPr sz="900" kern="1200"/>
  </cs:dataLabel>
  <cs:dataLabelCallout>
    <cs:lnRef idx="0"/>
    <cs:fillRef idx="0"/>
    <cs:effectRef idx="0"/>
    <cs:fontRef idx="minor">
      <a:sysClr val="windowText" lastClr="000000">
        <a:lumMod val="75000"/>
        <a:lumOff val="25000"/>
      </a:sysClr>
    </cs:fontRef>
    <cs:spPr>
      <a:solidFill>
        <a:sysClr val="windowText" lastClr="000000">
          <a:lumMod val="15000"/>
          <a:lumOff val="85000"/>
        </a:sys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ysClr val="windowText" lastClr="000000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ysClr val="windowText" lastClr="000000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>
        <a:solidFill>
          <a:sysClr val="windowText" lastClr="000000">
            <a:lumMod val="15000"/>
            <a:lumOff val="85000"/>
          </a:sysClr>
        </a:solidFill>
      </a:ln>
    </cs:spPr>
    <cs:defRPr sz="900" kern="1200"/>
  </cs:dataTable>
  <cs:downBar>
    <cs:lnRef idx="0"/>
    <cs:fillRef idx="0"/>
    <cs:effectRef idx="0"/>
    <cs:fontRef idx="minor">
      <a:sysClr val="windowText" lastClr="000000"/>
    </cs:fontRef>
    <cs:spPr>
      <a:solidFill>
        <a:sysClr val="windowText" lastClr="000000">
          <a:lumMod val="75000"/>
          <a:lumOff val="25000"/>
        </a:sysClr>
      </a:solidFill>
      <a:ln w="9525">
        <a:solidFill>
          <a:sysClr val="windowText" lastClr="000000">
            <a:lumMod val="50000"/>
            <a:lumOff val="50000"/>
          </a:sysClr>
        </a:solidFill>
      </a:ln>
    </cs:spPr>
  </cs:downBar>
  <cs:drop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dropLine>
  <cs:errorBar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round/>
      </a:ln>
    </cs:spPr>
  </cs:errorBar>
  <cs:floor>
    <cs:lnRef idx="0"/>
    <cs:fillRef idx="0"/>
    <cs:effectRef idx="0"/>
    <cs:fontRef idx="minor">
      <a:sysClr val="windowText" lastClr="000000"/>
    </cs:fontRef>
  </cs:floor>
  <cs:gridlineMaj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</cs:gridlineMajor>
  <cs:gridlineMin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5000"/>
            <a:lumOff val="95000"/>
          </a:sysClr>
        </a:solidFill>
        <a:round/>
      </a:ln>
    </cs:spPr>
  </cs:gridlineMinor>
  <cs:hiLo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hiLoLine>
  <cs:leader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</a:ln>
    </cs:spPr>
  </cs:leaderLine>
  <cs:legend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legend>
  <cs:plotArea mods="allowNoFillOverride allowNoLineOverride">
    <cs:lnRef idx="0"/>
    <cs:fillRef idx="0"/>
    <cs:effectRef idx="0"/>
    <cs:fontRef idx="minor">
      <a:sysClr val="windowText" lastClr="000000"/>
    </cs:fontRef>
  </cs:plotArea>
  <cs:plotArea3D mods="allowNoFillOverride allowNoLineOverride">
    <cs:lnRef idx="0"/>
    <cs:fillRef idx="0"/>
    <cs:effectRef idx="0"/>
    <cs:fontRef idx="minor">
      <a:sysClr val="windowText" lastClr="000000"/>
    </cs:fontRef>
  </cs:plotArea3D>
  <cs:series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seriesAxis>
  <cs:series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  <a:round/>
      </a:ln>
    </cs:spPr>
  </cs:seriesLine>
  <cs:title>
    <cs:lnRef idx="0"/>
    <cs:fillRef idx="0"/>
    <cs:effectRef idx="0"/>
    <cs:fontRef idx="major">
      <a:sysClr val="windowText" lastClr="000000">
        <a:lumMod val="65000"/>
        <a:lumOff val="35000"/>
      </a:sys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ysClr val="windowText" lastClr="000000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trendlineLabel>
  <cs:upBar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>
        <a:solidFill>
          <a:sysClr val="windowText" lastClr="000000">
            <a:lumMod val="50000"/>
            <a:lumOff val="50000"/>
          </a:sysClr>
        </a:solidFill>
      </a:ln>
    </cs:spPr>
  </cs:upBar>
  <cs:valueAxis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valueAxis>
  <cs:wall>
    <cs:lnRef idx="0"/>
    <cs:fillRef idx="0"/>
    <cs:effectRef idx="0"/>
    <cs:fontRef idx="minor">
      <a:sysClr val="windowText" lastClr="000000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35">
  <cs:axisTitle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 cap="all"/>
  </cs:axisTitle>
  <cs:category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chartArea>
  <cs:dataLabel>
    <cs:lnRef idx="0"/>
    <cs:fillRef idx="0"/>
    <cs:effectRef idx="0"/>
    <cs:fontRef idx="minor">
      <a:sysClr val="windowText" lastClr="000000">
        <a:lumMod val="75000"/>
        <a:lumOff val="25000"/>
      </a:sysClr>
    </cs:fontRef>
    <cs:defRPr sz="900" kern="1200"/>
  </cs:dataLabel>
  <cs:dataLabelCallout>
    <cs:lnRef idx="0"/>
    <cs:fillRef idx="0"/>
    <cs:effectRef idx="0"/>
    <cs:fontRef idx="minor">
      <a:sysClr val="windowText" lastClr="000000">
        <a:lumMod val="75000"/>
        <a:lumOff val="25000"/>
      </a:sysClr>
    </cs:fontRef>
    <cs:spPr>
      <a:solidFill>
        <a:sysClr val="windowText" lastClr="000000">
          <a:lumMod val="15000"/>
          <a:lumOff val="85000"/>
        </a:sys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ysClr val="windowText" lastClr="000000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ysClr val="windowText" lastClr="000000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>
        <a:solidFill>
          <a:sysClr val="windowText" lastClr="000000">
            <a:lumMod val="15000"/>
            <a:lumOff val="85000"/>
          </a:sysClr>
        </a:solidFill>
      </a:ln>
    </cs:spPr>
    <cs:defRPr sz="900" kern="1200"/>
  </cs:dataTable>
  <cs:downBar>
    <cs:lnRef idx="0"/>
    <cs:fillRef idx="0"/>
    <cs:effectRef idx="0"/>
    <cs:fontRef idx="minor">
      <a:sysClr val="windowText" lastClr="000000"/>
    </cs:fontRef>
    <cs:spPr>
      <a:solidFill>
        <a:sysClr val="windowText" lastClr="000000">
          <a:lumMod val="75000"/>
          <a:lumOff val="25000"/>
        </a:sysClr>
      </a:solidFill>
      <a:ln w="9525">
        <a:solidFill>
          <a:sysClr val="windowText" lastClr="000000">
            <a:lumMod val="50000"/>
            <a:lumOff val="50000"/>
          </a:sysClr>
        </a:solidFill>
      </a:ln>
    </cs:spPr>
  </cs:downBar>
  <cs:drop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dropLine>
  <cs:errorBar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round/>
      </a:ln>
    </cs:spPr>
  </cs:errorBar>
  <cs:floor>
    <cs:lnRef idx="0"/>
    <cs:fillRef idx="0"/>
    <cs:effectRef idx="0"/>
    <cs:fontRef idx="minor">
      <a:sysClr val="windowText" lastClr="000000"/>
    </cs:fontRef>
  </cs:floor>
  <cs:gridlineMaj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</cs:gridlineMajor>
  <cs:gridlineMin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5000"/>
            <a:lumOff val="95000"/>
          </a:sysClr>
        </a:solidFill>
        <a:round/>
      </a:ln>
    </cs:spPr>
  </cs:gridlineMinor>
  <cs:hiLo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hiLoLine>
  <cs:leader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</a:ln>
    </cs:spPr>
  </cs:leaderLine>
  <cs:legend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legend>
  <cs:plotArea mods="allowNoFillOverride allowNoLineOverride">
    <cs:lnRef idx="0"/>
    <cs:fillRef idx="0"/>
    <cs:effectRef idx="0"/>
    <cs:fontRef idx="minor">
      <a:sysClr val="windowText" lastClr="000000"/>
    </cs:fontRef>
  </cs:plotArea>
  <cs:plotArea3D mods="allowNoFillOverride allowNoLineOverride">
    <cs:lnRef idx="0"/>
    <cs:fillRef idx="0"/>
    <cs:effectRef idx="0"/>
    <cs:fontRef idx="minor">
      <a:sysClr val="windowText" lastClr="000000"/>
    </cs:fontRef>
  </cs:plotArea3D>
  <cs:series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seriesAxis>
  <cs:series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  <a:round/>
      </a:ln>
    </cs:spPr>
  </cs:seriesLine>
  <cs:title>
    <cs:lnRef idx="0"/>
    <cs:fillRef idx="0"/>
    <cs:effectRef idx="0"/>
    <cs:fontRef idx="major">
      <a:sysClr val="windowText" lastClr="000000">
        <a:lumMod val="65000"/>
        <a:lumOff val="35000"/>
      </a:sys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ysClr val="windowText" lastClr="000000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trendlineLabel>
  <cs:upBar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>
        <a:solidFill>
          <a:sysClr val="windowText" lastClr="000000">
            <a:lumMod val="50000"/>
            <a:lumOff val="50000"/>
          </a:sysClr>
        </a:solidFill>
      </a:ln>
    </cs:spPr>
  </cs:upBar>
  <cs:valueAxis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valueAxis>
  <cs:wall>
    <cs:lnRef idx="0"/>
    <cs:fillRef idx="0"/>
    <cs:effectRef idx="0"/>
    <cs:fontRef idx="minor">
      <a:sysClr val="windowText" lastClr="000000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35">
  <cs:axisTitle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 cap="all"/>
  </cs:axisTitle>
  <cs:category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chartArea>
  <cs:dataLabel>
    <cs:lnRef idx="0"/>
    <cs:fillRef idx="0"/>
    <cs:effectRef idx="0"/>
    <cs:fontRef idx="minor">
      <a:sysClr val="windowText" lastClr="000000">
        <a:lumMod val="75000"/>
        <a:lumOff val="25000"/>
      </a:sysClr>
    </cs:fontRef>
    <cs:defRPr sz="900" kern="1200"/>
  </cs:dataLabel>
  <cs:dataLabelCallout>
    <cs:lnRef idx="0"/>
    <cs:fillRef idx="0"/>
    <cs:effectRef idx="0"/>
    <cs:fontRef idx="minor">
      <a:sysClr val="windowText" lastClr="000000">
        <a:lumMod val="75000"/>
        <a:lumOff val="25000"/>
      </a:sysClr>
    </cs:fontRef>
    <cs:spPr>
      <a:solidFill>
        <a:sysClr val="windowText" lastClr="000000">
          <a:lumMod val="15000"/>
          <a:lumOff val="85000"/>
        </a:sys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ysClr val="windowText" lastClr="000000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ysClr val="windowText" lastClr="000000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ysClr val="windowText" lastClr="000000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>
        <a:solidFill>
          <a:sysClr val="windowText" lastClr="000000">
            <a:lumMod val="15000"/>
            <a:lumOff val="85000"/>
          </a:sysClr>
        </a:solidFill>
      </a:ln>
    </cs:spPr>
    <cs:defRPr sz="900" kern="1200"/>
  </cs:dataTable>
  <cs:downBar>
    <cs:lnRef idx="0"/>
    <cs:fillRef idx="0"/>
    <cs:effectRef idx="0"/>
    <cs:fontRef idx="minor">
      <a:sysClr val="windowText" lastClr="000000"/>
    </cs:fontRef>
    <cs:spPr>
      <a:solidFill>
        <a:sysClr val="windowText" lastClr="000000">
          <a:lumMod val="75000"/>
          <a:lumOff val="25000"/>
        </a:sysClr>
      </a:solidFill>
      <a:ln w="9525">
        <a:solidFill>
          <a:sysClr val="windowText" lastClr="000000">
            <a:lumMod val="50000"/>
            <a:lumOff val="50000"/>
          </a:sysClr>
        </a:solidFill>
      </a:ln>
    </cs:spPr>
  </cs:downBar>
  <cs:drop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dropLine>
  <cs:errorBar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round/>
      </a:ln>
    </cs:spPr>
  </cs:errorBar>
  <cs:floor>
    <cs:lnRef idx="0"/>
    <cs:fillRef idx="0"/>
    <cs:effectRef idx="0"/>
    <cs:fontRef idx="minor">
      <a:sysClr val="windowText" lastClr="000000"/>
    </cs:fontRef>
  </cs:floor>
  <cs:gridlineMaj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</cs:gridlineMajor>
  <cs:gridlineMinor>
    <cs:lnRef idx="0"/>
    <cs:fillRef idx="0"/>
    <cs:effectRef idx="0"/>
    <cs:fontRef idx="minor">
      <a:sysClr val="windowText" lastClr="000000"/>
    </cs:fontRef>
    <cs:spPr>
      <a:ln w="9525" cap="flat" cmpd="sng" algn="ctr">
        <a:solidFill>
          <a:sysClr val="windowText" lastClr="000000">
            <a:lumMod val="5000"/>
            <a:lumOff val="95000"/>
          </a:sysClr>
        </a:solidFill>
        <a:round/>
      </a:ln>
    </cs:spPr>
  </cs:gridlineMinor>
  <cs:hiLo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50000"/>
            <a:lumOff val="50000"/>
          </a:sysClr>
        </a:solidFill>
        <a:prstDash val="dash"/>
      </a:ln>
    </cs:spPr>
  </cs:hiLoLine>
  <cs:leader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</a:ln>
    </cs:spPr>
  </cs:leaderLine>
  <cs:legend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legend>
  <cs:plotArea mods="allowNoFillOverride allowNoLineOverride">
    <cs:lnRef idx="0"/>
    <cs:fillRef idx="0"/>
    <cs:effectRef idx="0"/>
    <cs:fontRef idx="minor">
      <a:sysClr val="windowText" lastClr="000000"/>
    </cs:fontRef>
  </cs:plotArea>
  <cs:plotArea3D mods="allowNoFillOverride allowNoLineOverride">
    <cs:lnRef idx="0"/>
    <cs:fillRef idx="0"/>
    <cs:effectRef idx="0"/>
    <cs:fontRef idx="minor">
      <a:sysClr val="windowText" lastClr="000000"/>
    </cs:fontRef>
  </cs:plotArea3D>
  <cs:seriesAxis>
    <cs:lnRef idx="0"/>
    <cs:fillRef idx="0"/>
    <cs:effectRef idx="0"/>
    <cs:fontRef idx="minor">
      <a:sysClr val="windowText" lastClr="000000">
        <a:lumMod val="65000"/>
        <a:lumOff val="35000"/>
      </a:sysClr>
    </cs:fontRef>
    <cs:spPr>
      <a:ln w="9525" cap="flat" cmpd="sng" algn="ctr">
        <a:solidFill>
          <a:sysClr val="windowText" lastClr="000000">
            <a:lumMod val="15000"/>
            <a:lumOff val="85000"/>
          </a:sysClr>
        </a:solidFill>
        <a:round/>
      </a:ln>
    </cs:spPr>
    <cs:defRPr sz="900" kern="1200"/>
  </cs:seriesAxis>
  <cs:seriesLine>
    <cs:lnRef idx="0"/>
    <cs:fillRef idx="0"/>
    <cs:effectRef idx="0"/>
    <cs:fontRef idx="minor">
      <a:sysClr val="windowText" lastClr="000000"/>
    </cs:fontRef>
    <cs:spPr>
      <a:ln w="9525">
        <a:solidFill>
          <a:sysClr val="windowText" lastClr="000000">
            <a:lumMod val="35000"/>
            <a:lumOff val="65000"/>
          </a:sysClr>
        </a:solidFill>
        <a:round/>
      </a:ln>
    </cs:spPr>
  </cs:seriesLine>
  <cs:title>
    <cs:lnRef idx="0"/>
    <cs:fillRef idx="0"/>
    <cs:effectRef idx="0"/>
    <cs:fontRef idx="major">
      <a:sysClr val="windowText" lastClr="000000">
        <a:lumMod val="65000"/>
        <a:lumOff val="35000"/>
      </a:sys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ysClr val="windowText" lastClr="000000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trendlineLabel>
  <cs:upBar>
    <cs:lnRef idx="0"/>
    <cs:fillRef idx="0"/>
    <cs:effectRef idx="0"/>
    <cs:fontRef idx="minor">
      <a:sysClr val="windowText" lastClr="000000"/>
    </cs:fontRef>
    <cs:spPr>
      <a:solidFill>
        <a:sysClr val="window" lastClr="FFFFFF"/>
      </a:solidFill>
      <a:ln w="9525">
        <a:solidFill>
          <a:sysClr val="windowText" lastClr="000000">
            <a:lumMod val="50000"/>
            <a:lumOff val="50000"/>
          </a:sysClr>
        </a:solidFill>
      </a:ln>
    </cs:spPr>
  </cs:upBar>
  <cs:valueAxis>
    <cs:lnRef idx="0"/>
    <cs:fillRef idx="0"/>
    <cs:effectRef idx="0"/>
    <cs:fontRef idx="minor">
      <a:sysClr val="windowText" lastClr="000000">
        <a:lumMod val="65000"/>
        <a:lumOff val="35000"/>
      </a:sysClr>
    </cs:fontRef>
    <cs:defRPr sz="900" kern="1200"/>
  </cs:valueAxis>
  <cs:wall>
    <cs:lnRef idx="0"/>
    <cs:fillRef idx="0"/>
    <cs:effectRef idx="0"/>
    <cs:fontRef idx="minor">
      <a:sysClr val="windowText" lastClr="000000"/>
    </cs:fontRef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山东大厨</dc:creator>
  <cp:lastModifiedBy>dong kevin</cp:lastModifiedBy>
  <cp:revision>3</cp:revision>
  <dcterms:created xsi:type="dcterms:W3CDTF">2022-05-02T06:10:00Z</dcterms:created>
  <dcterms:modified xsi:type="dcterms:W3CDTF">2022-05-06T04:55:00Z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2F1F5EF7A0A44DCE95E3FBEB9FF94D40</vt:lpwstr>
  </property>
</Properties>
</file>