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46429" w14:textId="77777777" w:rsidR="001F4A7F" w:rsidRDefault="001F4A7F">
      <w:pPr>
        <w:rPr>
          <w:noProof/>
        </w:rPr>
      </w:pPr>
    </w:p>
    <w:p w14:paraId="1C603282" w14:textId="2072CFC5" w:rsidR="00E0694F" w:rsidRDefault="001F4A7F">
      <w:r>
        <w:rPr>
          <w:noProof/>
        </w:rPr>
        <w:drawing>
          <wp:inline distT="0" distB="0" distL="0" distR="0" wp14:anchorId="508F2B7D" wp14:editId="54B715B3">
            <wp:extent cx="5273896" cy="1229533"/>
            <wp:effectExtent l="0" t="0" r="317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474" b="19775"/>
                    <a:stretch/>
                  </pic:blipFill>
                  <pic:spPr bwMode="auto">
                    <a:xfrm>
                      <a:off x="0" y="0"/>
                      <a:ext cx="5274310" cy="122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986A4" w14:textId="7051AE6E" w:rsidR="001A60B7" w:rsidRDefault="001F4A7F">
      <w:pPr>
        <w:rPr>
          <w:rFonts w:ascii="AdvHelN-L" w:hAnsi="AdvHelN-L" w:hint="eastAsia"/>
          <w:color w:val="000000"/>
          <w:sz w:val="24"/>
          <w:szCs w:val="24"/>
        </w:rPr>
      </w:pPr>
      <w:r w:rsidRPr="00ED66D8">
        <w:rPr>
          <w:rFonts w:ascii="AdvHelN-L" w:hAnsi="AdvHelN-L"/>
          <w:b/>
          <w:bCs/>
          <w:color w:val="000000"/>
          <w:sz w:val="24"/>
          <w:szCs w:val="24"/>
        </w:rPr>
        <w:t>Figure S1</w:t>
      </w:r>
      <w:r>
        <w:rPr>
          <w:rFonts w:ascii="AdvHelN-L" w:hAnsi="AdvHelN-L"/>
          <w:color w:val="000000"/>
          <w:sz w:val="24"/>
          <w:szCs w:val="24"/>
        </w:rPr>
        <w:t xml:space="preserve"> | </w:t>
      </w:r>
      <w:r>
        <w:rPr>
          <w:rFonts w:ascii="AdvHelN-L" w:hAnsi="AdvHelN-L"/>
          <w:color w:val="000000"/>
          <w:sz w:val="24"/>
          <w:szCs w:val="24"/>
        </w:rPr>
        <w:t>T</w:t>
      </w:r>
      <w:r>
        <w:rPr>
          <w:rFonts w:ascii="AdvHelN-L" w:hAnsi="AdvHelN-L" w:hint="eastAsia"/>
          <w:color w:val="000000"/>
          <w:sz w:val="24"/>
          <w:szCs w:val="24"/>
        </w:rPr>
        <w:t>he</w:t>
      </w:r>
      <w:r>
        <w:rPr>
          <w:rFonts w:ascii="AdvHelN-L" w:hAnsi="AdvHelN-L"/>
          <w:color w:val="000000"/>
          <w:sz w:val="24"/>
          <w:szCs w:val="24"/>
        </w:rPr>
        <w:t xml:space="preserve"> different expression of immune markers in </w:t>
      </w:r>
      <w:proofErr w:type="spellStart"/>
      <w:r>
        <w:rPr>
          <w:rFonts w:ascii="AdvHelN-L" w:hAnsi="AdvHelN-L"/>
          <w:color w:val="000000"/>
          <w:sz w:val="24"/>
          <w:szCs w:val="24"/>
        </w:rPr>
        <w:t>pyroptosis</w:t>
      </w:r>
      <w:proofErr w:type="spellEnd"/>
      <w:r>
        <w:rPr>
          <w:rFonts w:ascii="AdvHelN-L" w:hAnsi="AdvHelN-L"/>
          <w:color w:val="000000"/>
          <w:sz w:val="24"/>
          <w:szCs w:val="24"/>
        </w:rPr>
        <w:t xml:space="preserve"> related clusters. *P</w:t>
      </w:r>
      <w:r>
        <w:rPr>
          <w:rFonts w:ascii="AdvHelN-L" w:hAnsi="AdvHelN-L" w:hint="eastAsia"/>
          <w:color w:val="000000"/>
          <w:sz w:val="24"/>
          <w:szCs w:val="24"/>
        </w:rPr>
        <w:t>&lt;</w:t>
      </w:r>
      <w:r>
        <w:rPr>
          <w:rFonts w:ascii="AdvHelN-L" w:hAnsi="AdvHelN-L"/>
          <w:color w:val="000000"/>
          <w:sz w:val="24"/>
          <w:szCs w:val="24"/>
        </w:rPr>
        <w:t xml:space="preserve">0.05, </w:t>
      </w:r>
      <w:r>
        <w:rPr>
          <w:rFonts w:ascii="AdvHelN-L" w:hAnsi="AdvHelN-L"/>
          <w:color w:val="000000"/>
          <w:sz w:val="24"/>
          <w:szCs w:val="24"/>
        </w:rPr>
        <w:t>*</w:t>
      </w:r>
      <w:r>
        <w:rPr>
          <w:rFonts w:ascii="AdvHelN-L" w:hAnsi="AdvHelN-L"/>
          <w:color w:val="000000"/>
          <w:sz w:val="24"/>
          <w:szCs w:val="24"/>
        </w:rPr>
        <w:t>*</w:t>
      </w:r>
      <w:r>
        <w:rPr>
          <w:rFonts w:ascii="AdvHelN-L" w:hAnsi="AdvHelN-L"/>
          <w:color w:val="000000"/>
          <w:sz w:val="24"/>
          <w:szCs w:val="24"/>
        </w:rPr>
        <w:t>P</w:t>
      </w:r>
      <w:r>
        <w:rPr>
          <w:rFonts w:ascii="AdvHelN-L" w:hAnsi="AdvHelN-L" w:hint="eastAsia"/>
          <w:color w:val="000000"/>
          <w:sz w:val="24"/>
          <w:szCs w:val="24"/>
        </w:rPr>
        <w:t>&lt;</w:t>
      </w:r>
      <w:r>
        <w:rPr>
          <w:rFonts w:ascii="AdvHelN-L" w:hAnsi="AdvHelN-L"/>
          <w:color w:val="000000"/>
          <w:sz w:val="24"/>
          <w:szCs w:val="24"/>
        </w:rPr>
        <w:t>0.0</w:t>
      </w:r>
      <w:r>
        <w:rPr>
          <w:rFonts w:ascii="AdvHelN-L" w:hAnsi="AdvHelN-L"/>
          <w:color w:val="000000"/>
          <w:sz w:val="24"/>
          <w:szCs w:val="24"/>
        </w:rPr>
        <w:t xml:space="preserve">1, </w:t>
      </w:r>
      <w:r>
        <w:rPr>
          <w:rFonts w:ascii="AdvHelN-L" w:hAnsi="AdvHelN-L"/>
          <w:color w:val="000000"/>
          <w:sz w:val="24"/>
          <w:szCs w:val="24"/>
        </w:rPr>
        <w:t>*</w:t>
      </w:r>
      <w:r>
        <w:rPr>
          <w:rFonts w:ascii="AdvHelN-L" w:hAnsi="AdvHelN-L"/>
          <w:color w:val="000000"/>
          <w:sz w:val="24"/>
          <w:szCs w:val="24"/>
        </w:rPr>
        <w:t>**</w:t>
      </w:r>
      <w:r>
        <w:rPr>
          <w:rFonts w:ascii="AdvHelN-L" w:hAnsi="AdvHelN-L"/>
          <w:color w:val="000000"/>
          <w:sz w:val="24"/>
          <w:szCs w:val="24"/>
        </w:rPr>
        <w:t>P</w:t>
      </w:r>
      <w:r>
        <w:rPr>
          <w:rFonts w:ascii="AdvHelN-L" w:hAnsi="AdvHelN-L" w:hint="eastAsia"/>
          <w:color w:val="000000"/>
          <w:sz w:val="24"/>
          <w:szCs w:val="24"/>
        </w:rPr>
        <w:t>&lt;</w:t>
      </w:r>
      <w:r>
        <w:rPr>
          <w:rFonts w:ascii="AdvHelN-L" w:hAnsi="AdvHelN-L"/>
          <w:color w:val="000000"/>
          <w:sz w:val="24"/>
          <w:szCs w:val="24"/>
        </w:rPr>
        <w:t>0.0</w:t>
      </w:r>
      <w:r>
        <w:rPr>
          <w:rFonts w:ascii="AdvHelN-L" w:hAnsi="AdvHelN-L"/>
          <w:color w:val="000000"/>
          <w:sz w:val="24"/>
          <w:szCs w:val="24"/>
        </w:rPr>
        <w:t>01.</w:t>
      </w:r>
    </w:p>
    <w:p w14:paraId="089DB550" w14:textId="77777777" w:rsidR="001A60B7" w:rsidRDefault="001A60B7">
      <w:pPr>
        <w:widowControl/>
        <w:jc w:val="left"/>
        <w:rPr>
          <w:rFonts w:ascii="AdvHelN-L" w:hAnsi="AdvHelN-L" w:hint="eastAsia"/>
          <w:color w:val="000000"/>
          <w:sz w:val="24"/>
          <w:szCs w:val="24"/>
        </w:rPr>
      </w:pPr>
      <w:r>
        <w:rPr>
          <w:rFonts w:ascii="AdvHelN-L" w:hAnsi="AdvHelN-L" w:hint="eastAsia"/>
          <w:color w:val="000000"/>
          <w:sz w:val="24"/>
          <w:szCs w:val="24"/>
        </w:rPr>
        <w:br w:type="page"/>
      </w:r>
    </w:p>
    <w:p w14:paraId="65BBCA6D" w14:textId="77777777" w:rsidR="001F4A7F" w:rsidRDefault="001F4A7F">
      <w:pPr>
        <w:rPr>
          <w:rFonts w:ascii="AdvHelN-L" w:hAnsi="AdvHelN-L"/>
          <w:color w:val="000000"/>
          <w:sz w:val="24"/>
          <w:szCs w:val="24"/>
        </w:rPr>
      </w:pPr>
    </w:p>
    <w:p w14:paraId="69D69D28" w14:textId="3EAD6093" w:rsidR="00B876FA" w:rsidRDefault="00C06228">
      <w:r>
        <w:rPr>
          <w:noProof/>
        </w:rPr>
        <w:drawing>
          <wp:inline distT="0" distB="0" distL="0" distR="0" wp14:anchorId="1C5EB614" wp14:editId="299D7258">
            <wp:extent cx="5274310" cy="46335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3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331F3" w14:textId="7DDC18D3" w:rsidR="001A60B7" w:rsidRDefault="00B876FA">
      <w:pPr>
        <w:rPr>
          <w:rFonts w:ascii="AdvHelN-L" w:hAnsi="AdvHelN-L" w:hint="eastAsia"/>
          <w:sz w:val="24"/>
          <w:szCs w:val="24"/>
        </w:rPr>
      </w:pPr>
      <w:r w:rsidRPr="00ED66D8">
        <w:rPr>
          <w:rFonts w:ascii="AdvHelN-L" w:hAnsi="AdvHelN-L"/>
          <w:b/>
          <w:bCs/>
          <w:color w:val="000000"/>
          <w:sz w:val="24"/>
          <w:szCs w:val="24"/>
        </w:rPr>
        <w:t>Figure S</w:t>
      </w:r>
      <w:r w:rsidR="00C06228">
        <w:rPr>
          <w:rFonts w:ascii="AdvHelN-L" w:hAnsi="AdvHelN-L"/>
          <w:b/>
          <w:bCs/>
          <w:color w:val="000000"/>
          <w:sz w:val="24"/>
          <w:szCs w:val="24"/>
        </w:rPr>
        <w:t>2</w:t>
      </w:r>
      <w:r>
        <w:rPr>
          <w:rFonts w:ascii="AdvHelN-L" w:hAnsi="AdvHelN-L"/>
          <w:color w:val="000000"/>
          <w:sz w:val="24"/>
          <w:szCs w:val="24"/>
        </w:rPr>
        <w:t xml:space="preserve"> |</w:t>
      </w:r>
      <w:r>
        <w:rPr>
          <w:rFonts w:ascii="AdvHelN-L" w:hAnsi="AdvHelN-L"/>
          <w:color w:val="000000"/>
          <w:sz w:val="24"/>
          <w:szCs w:val="24"/>
        </w:rPr>
        <w:t xml:space="preserve"> </w:t>
      </w:r>
      <w:r w:rsidR="00C06228" w:rsidRPr="00C06228">
        <w:rPr>
          <w:rFonts w:ascii="AdvHelN-L" w:hAnsi="AdvHelN-L"/>
          <w:sz w:val="24"/>
          <w:szCs w:val="24"/>
        </w:rPr>
        <w:t>Construction of risk signature in the TCGA cohort.</w:t>
      </w:r>
      <w:r w:rsidR="00C06228" w:rsidRPr="00C06228">
        <w:rPr>
          <w:rFonts w:ascii="AdvHelN-L" w:hAnsi="AdvHelN-L"/>
          <w:sz w:val="24"/>
          <w:szCs w:val="24"/>
        </w:rPr>
        <w:t xml:space="preserve"> </w:t>
      </w:r>
      <w:r w:rsidR="00C06228" w:rsidRPr="00C06228">
        <w:rPr>
          <w:rFonts w:ascii="AdvHelN-L" w:hAnsi="AdvHelN-L"/>
          <w:b/>
          <w:bCs/>
          <w:sz w:val="24"/>
          <w:szCs w:val="24"/>
        </w:rPr>
        <w:t>(A)</w:t>
      </w:r>
      <w:r w:rsidR="00C06228">
        <w:rPr>
          <w:rFonts w:ascii="AdvHelN-L" w:hAnsi="AdvHelN-L"/>
          <w:sz w:val="24"/>
          <w:szCs w:val="24"/>
        </w:rPr>
        <w:t xml:space="preserve"> </w:t>
      </w:r>
      <w:r w:rsidR="00C06228" w:rsidRPr="00C06228">
        <w:rPr>
          <w:rFonts w:ascii="AdvHelN-L" w:hAnsi="AdvHelN-L"/>
          <w:sz w:val="24"/>
          <w:szCs w:val="24"/>
        </w:rPr>
        <w:t>LASSO</w:t>
      </w:r>
      <w:r w:rsidR="00C06228" w:rsidRPr="00C06228">
        <w:rPr>
          <w:rFonts w:ascii="AdvHelN-L" w:hAnsi="AdvHelN-L"/>
          <w:color w:val="000000"/>
          <w:sz w:val="24"/>
          <w:szCs w:val="24"/>
        </w:rPr>
        <w:t xml:space="preserve"> </w:t>
      </w:r>
      <w:r w:rsidR="00C06228" w:rsidRPr="00C06228">
        <w:rPr>
          <w:rFonts w:ascii="AdvHelN-L" w:hAnsi="AdvHelN-L"/>
          <w:sz w:val="24"/>
          <w:szCs w:val="24"/>
        </w:rPr>
        <w:t xml:space="preserve">regression of the </w:t>
      </w:r>
      <w:r w:rsidR="00C06228" w:rsidRPr="00C06228">
        <w:rPr>
          <w:rFonts w:ascii="AdvHelN-L" w:hAnsi="AdvHelN-L"/>
          <w:sz w:val="24"/>
          <w:szCs w:val="24"/>
        </w:rPr>
        <w:t>5</w:t>
      </w:r>
      <w:r w:rsidR="00C06228" w:rsidRPr="00C06228">
        <w:rPr>
          <w:rFonts w:ascii="AdvHelN-L" w:hAnsi="AdvHelN-L"/>
          <w:sz w:val="24"/>
          <w:szCs w:val="24"/>
        </w:rPr>
        <w:t xml:space="preserve"> OS-related genes. (</w:t>
      </w:r>
      <w:r w:rsidR="00C06228" w:rsidRPr="00C06228">
        <w:rPr>
          <w:rFonts w:ascii="AdvHelN-L" w:hAnsi="AdvHelN-L"/>
          <w:b/>
          <w:bCs/>
          <w:sz w:val="24"/>
          <w:szCs w:val="24"/>
        </w:rPr>
        <w:t>B</w:t>
      </w:r>
      <w:r w:rsidR="00C06228" w:rsidRPr="00C06228">
        <w:rPr>
          <w:rFonts w:ascii="AdvHelN-L" w:hAnsi="AdvHelN-L"/>
          <w:sz w:val="24"/>
          <w:szCs w:val="24"/>
        </w:rPr>
        <w:t>) Cross-validation for tuning the parameter selection in the LASSO regression.</w:t>
      </w:r>
      <w:r w:rsidR="00C06228" w:rsidRPr="00C06228">
        <w:rPr>
          <w:rFonts w:ascii="AdvHelN-L" w:hAnsi="AdvHelN-L"/>
          <w:b/>
          <w:bCs/>
          <w:sz w:val="24"/>
          <w:szCs w:val="24"/>
        </w:rPr>
        <w:t xml:space="preserve"> (C)</w:t>
      </w:r>
      <w:r w:rsidR="00C06228" w:rsidRPr="00C06228">
        <w:rPr>
          <w:rFonts w:ascii="AdvHelN-L" w:hAnsi="AdvHelN-L"/>
          <w:sz w:val="24"/>
          <w:szCs w:val="24"/>
        </w:rPr>
        <w:t xml:space="preserve"> </w:t>
      </w:r>
      <w:r w:rsidR="00C06228" w:rsidRPr="00C06228">
        <w:rPr>
          <w:rFonts w:ascii="AdvHelN-L" w:hAnsi="AdvHelN-L"/>
          <w:sz w:val="24"/>
          <w:szCs w:val="24"/>
        </w:rPr>
        <w:t xml:space="preserve">PCA plot for </w:t>
      </w:r>
      <w:r w:rsidR="00C06228" w:rsidRPr="00C06228">
        <w:rPr>
          <w:rFonts w:ascii="AdvHelN-L" w:hAnsi="AdvHelN-L"/>
          <w:sz w:val="24"/>
          <w:szCs w:val="24"/>
        </w:rPr>
        <w:t>DDL patients</w:t>
      </w:r>
      <w:r w:rsidR="00C06228" w:rsidRPr="00C06228">
        <w:rPr>
          <w:rFonts w:ascii="AdvHelN-L" w:hAnsi="AdvHelN-L"/>
          <w:sz w:val="24"/>
          <w:szCs w:val="24"/>
        </w:rPr>
        <w:t xml:space="preserve"> based on the risk score. (</w:t>
      </w:r>
      <w:r w:rsidR="00C06228">
        <w:rPr>
          <w:rFonts w:ascii="AdvHelN-L" w:hAnsi="AdvHelN-L"/>
          <w:b/>
          <w:bCs/>
          <w:sz w:val="24"/>
          <w:szCs w:val="24"/>
        </w:rPr>
        <w:t>D</w:t>
      </w:r>
      <w:r w:rsidR="00C06228" w:rsidRPr="00C06228">
        <w:rPr>
          <w:rFonts w:ascii="AdvHelN-L" w:hAnsi="AdvHelN-L"/>
          <w:sz w:val="24"/>
          <w:szCs w:val="24"/>
        </w:rPr>
        <w:t>) t-SNE plot for</w:t>
      </w:r>
      <w:r w:rsidR="00C06228" w:rsidRPr="00C06228">
        <w:rPr>
          <w:rFonts w:ascii="AdvHelN-L" w:hAnsi="AdvHelN-L"/>
          <w:sz w:val="24"/>
          <w:szCs w:val="24"/>
        </w:rPr>
        <w:t xml:space="preserve"> DDL patients </w:t>
      </w:r>
      <w:r w:rsidR="00C06228" w:rsidRPr="00C06228">
        <w:rPr>
          <w:rFonts w:ascii="AdvHelN-L" w:hAnsi="AdvHelN-L"/>
          <w:sz w:val="24"/>
          <w:szCs w:val="24"/>
        </w:rPr>
        <w:t>based on the risk score</w:t>
      </w:r>
      <w:r w:rsidR="00C06228">
        <w:rPr>
          <w:rFonts w:ascii="AdvHelN-L" w:hAnsi="AdvHelN-L"/>
          <w:sz w:val="24"/>
          <w:szCs w:val="24"/>
        </w:rPr>
        <w:t>.</w:t>
      </w:r>
    </w:p>
    <w:p w14:paraId="7FB14EAF" w14:textId="77777777" w:rsidR="001A60B7" w:rsidRDefault="001A60B7">
      <w:pPr>
        <w:widowControl/>
        <w:jc w:val="left"/>
        <w:rPr>
          <w:rFonts w:ascii="AdvHelN-L" w:hAnsi="AdvHelN-L" w:hint="eastAsia"/>
          <w:sz w:val="24"/>
          <w:szCs w:val="24"/>
        </w:rPr>
      </w:pPr>
      <w:r>
        <w:rPr>
          <w:rFonts w:ascii="AdvHelN-L" w:hAnsi="AdvHelN-L" w:hint="eastAsia"/>
          <w:sz w:val="24"/>
          <w:szCs w:val="24"/>
        </w:rPr>
        <w:br w:type="page"/>
      </w:r>
    </w:p>
    <w:p w14:paraId="5D14B121" w14:textId="5E98251F" w:rsidR="00B876FA" w:rsidRDefault="003755B6">
      <w:pPr>
        <w:rPr>
          <w:rFonts w:ascii="AdvHelN-L" w:hAnsi="AdvHelN-L"/>
          <w:color w:val="000000"/>
          <w:sz w:val="24"/>
          <w:szCs w:val="24"/>
        </w:rPr>
      </w:pPr>
      <w:r>
        <w:rPr>
          <w:rFonts w:ascii="AdvHelN-L" w:hAnsi="AdvHelN-L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2B2C1597" wp14:editId="003FB4A8">
            <wp:extent cx="5274310" cy="209105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ED585" w14:textId="77777777" w:rsidR="005F66B8" w:rsidRDefault="00B76598">
      <w:pPr>
        <w:rPr>
          <w:rFonts w:ascii="AdvHelN-L" w:hAnsi="AdvHelN-L" w:hint="eastAsia"/>
          <w:sz w:val="24"/>
          <w:szCs w:val="24"/>
        </w:rPr>
      </w:pPr>
      <w:r w:rsidRPr="00ED66D8">
        <w:rPr>
          <w:rFonts w:ascii="AdvHelN-L" w:hAnsi="AdvHelN-L"/>
          <w:b/>
          <w:bCs/>
          <w:color w:val="000000"/>
          <w:sz w:val="24"/>
          <w:szCs w:val="24"/>
        </w:rPr>
        <w:t>Figure S</w:t>
      </w:r>
      <w:r>
        <w:rPr>
          <w:rFonts w:ascii="AdvHelN-L" w:hAnsi="AdvHelN-L"/>
          <w:b/>
          <w:bCs/>
          <w:color w:val="000000"/>
          <w:sz w:val="24"/>
          <w:szCs w:val="24"/>
        </w:rPr>
        <w:t xml:space="preserve">3 </w:t>
      </w:r>
      <w:r>
        <w:rPr>
          <w:rFonts w:ascii="AdvHelN-L" w:hAnsi="AdvHelN-L"/>
          <w:color w:val="000000"/>
          <w:sz w:val="24"/>
          <w:szCs w:val="24"/>
        </w:rPr>
        <w:t>|</w:t>
      </w:r>
      <w:r w:rsidRPr="00B76598">
        <w:rPr>
          <w:rStyle w:val="a3"/>
        </w:rPr>
        <w:t xml:space="preserve"> </w:t>
      </w:r>
      <w:r w:rsidR="004E2963" w:rsidRPr="004E2963">
        <w:rPr>
          <w:rFonts w:ascii="AdvHelN-L" w:hAnsi="AdvHelN-L"/>
          <w:sz w:val="24"/>
          <w:szCs w:val="24"/>
        </w:rPr>
        <w:t xml:space="preserve">The prognostic signature base on the </w:t>
      </w:r>
      <w:r w:rsidR="004E2963" w:rsidRPr="004E2963">
        <w:rPr>
          <w:rFonts w:ascii="AdvHelN-L" w:hAnsi="AdvHelN-L"/>
          <w:sz w:val="24"/>
          <w:szCs w:val="24"/>
        </w:rPr>
        <w:t>clusters</w:t>
      </w:r>
      <w:r w:rsidR="004E2963" w:rsidRPr="004E2963">
        <w:rPr>
          <w:rFonts w:ascii="AdvHelN-L" w:hAnsi="AdvHelN-L"/>
          <w:sz w:val="24"/>
          <w:szCs w:val="24"/>
        </w:rPr>
        <w:t xml:space="preserve">-related DEGs for </w:t>
      </w:r>
      <w:r w:rsidR="004E2963" w:rsidRPr="004E2963">
        <w:rPr>
          <w:rFonts w:ascii="AdvHelN-L" w:hAnsi="AdvHelN-L"/>
          <w:sz w:val="24"/>
          <w:szCs w:val="24"/>
        </w:rPr>
        <w:t>DDL</w:t>
      </w:r>
      <w:r w:rsidR="004E2963" w:rsidRPr="004E2963">
        <w:rPr>
          <w:rFonts w:ascii="AdvHelN-L" w:hAnsi="AdvHelN-L"/>
          <w:sz w:val="24"/>
          <w:szCs w:val="24"/>
        </w:rPr>
        <w:t xml:space="preserve"> in TCGA cohort. </w:t>
      </w:r>
      <w:r w:rsidRPr="004E2963">
        <w:rPr>
          <w:rFonts w:ascii="AdvHelN-L" w:hAnsi="AdvHelN-L"/>
          <w:b/>
          <w:bCs/>
          <w:sz w:val="24"/>
          <w:szCs w:val="24"/>
        </w:rPr>
        <w:t xml:space="preserve">(A) </w:t>
      </w:r>
      <w:r w:rsidRPr="004E2963">
        <w:rPr>
          <w:rFonts w:ascii="AdvHelN-L" w:hAnsi="AdvHelN-L"/>
          <w:sz w:val="24"/>
          <w:szCs w:val="24"/>
        </w:rPr>
        <w:t xml:space="preserve">Nomogram for predicting the probability of 1-, 3-, and 5-year overall survival time for </w:t>
      </w:r>
      <w:r w:rsidRPr="004E2963">
        <w:rPr>
          <w:rFonts w:ascii="AdvHelN-L" w:hAnsi="AdvHelN-L"/>
          <w:sz w:val="24"/>
          <w:szCs w:val="24"/>
        </w:rPr>
        <w:t>DDL</w:t>
      </w:r>
      <w:r w:rsidRPr="004E2963">
        <w:rPr>
          <w:rFonts w:ascii="AdvHelN-L" w:hAnsi="AdvHelN-L"/>
          <w:sz w:val="24"/>
          <w:szCs w:val="24"/>
        </w:rPr>
        <w:t xml:space="preserve">. </w:t>
      </w:r>
      <w:r w:rsidRPr="004E2963">
        <w:rPr>
          <w:rFonts w:ascii="AdvHelN-L" w:hAnsi="AdvHelN-L"/>
          <w:b/>
          <w:bCs/>
          <w:sz w:val="24"/>
          <w:szCs w:val="24"/>
        </w:rPr>
        <w:t xml:space="preserve">(B) </w:t>
      </w:r>
      <w:r w:rsidRPr="004E2963">
        <w:rPr>
          <w:rFonts w:ascii="AdvHelN-L" w:hAnsi="AdvHelN-L"/>
          <w:sz w:val="24"/>
          <w:szCs w:val="24"/>
        </w:rPr>
        <w:t>DCA results</w:t>
      </w:r>
      <w:r w:rsidR="004E2963">
        <w:rPr>
          <w:rFonts w:ascii="AdvHelN-L" w:hAnsi="AdvHelN-L"/>
          <w:sz w:val="24"/>
          <w:szCs w:val="24"/>
        </w:rPr>
        <w:t>.</w:t>
      </w:r>
    </w:p>
    <w:p w14:paraId="547955E8" w14:textId="77777777" w:rsidR="005F66B8" w:rsidRDefault="005F66B8">
      <w:pPr>
        <w:widowControl/>
        <w:jc w:val="left"/>
        <w:rPr>
          <w:rFonts w:ascii="AdvHelN-L" w:hAnsi="AdvHelN-L" w:hint="eastAsia"/>
          <w:sz w:val="24"/>
          <w:szCs w:val="24"/>
        </w:rPr>
      </w:pPr>
      <w:r>
        <w:rPr>
          <w:rFonts w:ascii="AdvHelN-L" w:hAnsi="AdvHelN-L" w:hint="eastAsia"/>
          <w:sz w:val="24"/>
          <w:szCs w:val="24"/>
        </w:rPr>
        <w:br w:type="page"/>
      </w:r>
    </w:p>
    <w:p w14:paraId="0DD4FE6A" w14:textId="3D7147BB" w:rsidR="00B76598" w:rsidRDefault="005F66B8">
      <w:pPr>
        <w:rPr>
          <w:rFonts w:ascii="AdvHelN-L" w:hAnsi="AdvHelN-L"/>
          <w:sz w:val="24"/>
          <w:szCs w:val="24"/>
        </w:rPr>
      </w:pPr>
      <w:r>
        <w:rPr>
          <w:rFonts w:ascii="AdvHelN-L" w:hAnsi="AdvHelN-L"/>
          <w:noProof/>
          <w:sz w:val="24"/>
          <w:szCs w:val="24"/>
        </w:rPr>
        <w:lastRenderedPageBreak/>
        <w:drawing>
          <wp:inline distT="0" distB="0" distL="0" distR="0" wp14:anchorId="30C297A7" wp14:editId="2DEB7842">
            <wp:extent cx="5274310" cy="26066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598" w:rsidRPr="004E2963">
        <w:rPr>
          <w:rFonts w:ascii="AdvHelN-L" w:hAnsi="AdvHelN-L"/>
          <w:sz w:val="24"/>
          <w:szCs w:val="24"/>
        </w:rPr>
        <w:t xml:space="preserve"> </w:t>
      </w:r>
    </w:p>
    <w:p w14:paraId="3DD99CE9" w14:textId="5277DD56" w:rsidR="00964FAD" w:rsidRDefault="005F66B8">
      <w:pPr>
        <w:rPr>
          <w:rFonts w:ascii="AdvHelN-L" w:hAnsi="AdvHelN-L" w:hint="eastAsia"/>
          <w:color w:val="000000"/>
          <w:sz w:val="24"/>
          <w:szCs w:val="24"/>
        </w:rPr>
      </w:pPr>
      <w:r w:rsidRPr="00ED66D8">
        <w:rPr>
          <w:rFonts w:ascii="AdvHelN-L" w:hAnsi="AdvHelN-L"/>
          <w:b/>
          <w:bCs/>
          <w:color w:val="000000"/>
          <w:sz w:val="24"/>
          <w:szCs w:val="24"/>
        </w:rPr>
        <w:t>Figure S</w:t>
      </w:r>
      <w:r>
        <w:rPr>
          <w:rFonts w:ascii="AdvHelN-L" w:hAnsi="AdvHelN-L"/>
          <w:b/>
          <w:bCs/>
          <w:color w:val="000000"/>
          <w:sz w:val="24"/>
          <w:szCs w:val="24"/>
        </w:rPr>
        <w:t>4</w:t>
      </w:r>
      <w:r>
        <w:rPr>
          <w:rFonts w:ascii="AdvHelN-L" w:hAnsi="AdvHelN-L"/>
          <w:b/>
          <w:bCs/>
          <w:color w:val="000000"/>
          <w:sz w:val="24"/>
          <w:szCs w:val="24"/>
        </w:rPr>
        <w:t xml:space="preserve"> </w:t>
      </w:r>
      <w:r>
        <w:rPr>
          <w:rFonts w:ascii="AdvHelN-L" w:hAnsi="AdvHelN-L"/>
          <w:color w:val="000000"/>
          <w:sz w:val="24"/>
          <w:szCs w:val="24"/>
        </w:rPr>
        <w:t>|</w:t>
      </w:r>
      <w:r>
        <w:rPr>
          <w:rFonts w:ascii="AdvHelN-L" w:hAnsi="AdvHelN-L"/>
          <w:color w:val="000000"/>
          <w:sz w:val="24"/>
          <w:szCs w:val="24"/>
        </w:rPr>
        <w:t xml:space="preserve"> The results of </w:t>
      </w:r>
      <w:r w:rsidRPr="00431238">
        <w:rPr>
          <w:rFonts w:ascii="AdvHelN-L" w:hAnsi="AdvHelN-L"/>
          <w:color w:val="000000"/>
          <w:sz w:val="24"/>
          <w:szCs w:val="24"/>
        </w:rPr>
        <w:t xml:space="preserve">GO- </w:t>
      </w:r>
      <w:r>
        <w:rPr>
          <w:rFonts w:ascii="AdvHelN-L" w:hAnsi="AdvHelN-L"/>
          <w:color w:val="000000"/>
          <w:sz w:val="24"/>
          <w:szCs w:val="24"/>
        </w:rPr>
        <w:t xml:space="preserve">cellular component and molecular function </w:t>
      </w:r>
      <w:r w:rsidRPr="00431238">
        <w:rPr>
          <w:rFonts w:ascii="AdvHelN-L" w:hAnsi="AdvHelN-L"/>
          <w:color w:val="000000"/>
          <w:sz w:val="24"/>
          <w:szCs w:val="24"/>
        </w:rPr>
        <w:t>enrichment</w:t>
      </w:r>
      <w:r>
        <w:rPr>
          <w:rFonts w:ascii="AdvHelN-L" w:hAnsi="AdvHelN-L"/>
          <w:color w:val="000000"/>
          <w:sz w:val="24"/>
          <w:szCs w:val="24"/>
        </w:rPr>
        <w:t xml:space="preserve"> </w:t>
      </w:r>
      <w:r w:rsidRPr="00431238">
        <w:rPr>
          <w:rFonts w:ascii="AdvHelN-L" w:hAnsi="AdvHelN-L"/>
          <w:color w:val="000000"/>
          <w:sz w:val="24"/>
          <w:szCs w:val="24"/>
        </w:rPr>
        <w:t>based on the DEGs between the two-risk groups in the TCGA cohort.</w:t>
      </w:r>
    </w:p>
    <w:p w14:paraId="5B731BCF" w14:textId="77777777" w:rsidR="00964FAD" w:rsidRDefault="00964FAD">
      <w:pPr>
        <w:widowControl/>
        <w:jc w:val="left"/>
        <w:rPr>
          <w:rFonts w:ascii="AdvHelN-L" w:hAnsi="AdvHelN-L" w:hint="eastAsia"/>
          <w:color w:val="000000"/>
          <w:sz w:val="24"/>
          <w:szCs w:val="24"/>
        </w:rPr>
      </w:pPr>
      <w:r>
        <w:rPr>
          <w:rFonts w:ascii="AdvHelN-L" w:hAnsi="AdvHelN-L" w:hint="eastAsia"/>
          <w:color w:val="000000"/>
          <w:sz w:val="24"/>
          <w:szCs w:val="24"/>
        </w:rPr>
        <w:br w:type="page"/>
      </w:r>
    </w:p>
    <w:p w14:paraId="4E20916D" w14:textId="4684238D" w:rsidR="005F66B8" w:rsidRDefault="00964FAD">
      <w:pPr>
        <w:rPr>
          <w:rFonts w:ascii="AdvHelN-L" w:hAnsi="AdvHelN-L"/>
          <w:sz w:val="24"/>
          <w:szCs w:val="24"/>
        </w:rPr>
      </w:pPr>
      <w:r>
        <w:rPr>
          <w:rFonts w:ascii="AdvHelN-L" w:hAnsi="AdvHelN-L" w:hint="eastAsia"/>
          <w:noProof/>
          <w:sz w:val="24"/>
          <w:szCs w:val="24"/>
        </w:rPr>
        <w:lastRenderedPageBreak/>
        <w:drawing>
          <wp:inline distT="0" distB="0" distL="0" distR="0" wp14:anchorId="37EE9CD0" wp14:editId="4D512F9C">
            <wp:extent cx="5274310" cy="160210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4BB6E" w14:textId="665EE1AC" w:rsidR="00424280" w:rsidRDefault="002F0317">
      <w:pPr>
        <w:rPr>
          <w:rFonts w:ascii="AdvHelN-L" w:hAnsi="AdvHelN-L" w:hint="eastAsia"/>
          <w:color w:val="000000"/>
          <w:sz w:val="24"/>
          <w:szCs w:val="24"/>
        </w:rPr>
      </w:pPr>
      <w:r w:rsidRPr="00ED66D8">
        <w:rPr>
          <w:rFonts w:ascii="AdvHelN-L" w:hAnsi="AdvHelN-L"/>
          <w:b/>
          <w:bCs/>
          <w:color w:val="000000"/>
          <w:sz w:val="24"/>
          <w:szCs w:val="24"/>
        </w:rPr>
        <w:t>Figure S</w:t>
      </w:r>
      <w:r>
        <w:rPr>
          <w:rFonts w:ascii="AdvHelN-L" w:hAnsi="AdvHelN-L"/>
          <w:b/>
          <w:bCs/>
          <w:color w:val="000000"/>
          <w:sz w:val="24"/>
          <w:szCs w:val="24"/>
        </w:rPr>
        <w:t>5</w:t>
      </w:r>
      <w:r>
        <w:rPr>
          <w:rFonts w:ascii="AdvHelN-L" w:hAnsi="AdvHelN-L"/>
          <w:b/>
          <w:bCs/>
          <w:color w:val="000000"/>
          <w:sz w:val="24"/>
          <w:szCs w:val="24"/>
        </w:rPr>
        <w:t xml:space="preserve"> </w:t>
      </w:r>
      <w:r>
        <w:rPr>
          <w:rFonts w:ascii="AdvHelN-L" w:hAnsi="AdvHelN-L"/>
          <w:color w:val="000000"/>
          <w:sz w:val="24"/>
          <w:szCs w:val="24"/>
        </w:rPr>
        <w:t>|</w:t>
      </w:r>
      <w:r>
        <w:rPr>
          <w:rFonts w:ascii="AdvHelN-L" w:hAnsi="AdvHelN-L"/>
          <w:color w:val="000000"/>
          <w:sz w:val="24"/>
          <w:szCs w:val="24"/>
        </w:rPr>
        <w:t xml:space="preserve"> </w:t>
      </w:r>
      <w:r w:rsidRPr="00AD6D80">
        <w:rPr>
          <w:rFonts w:ascii="AdvHelN-L" w:hAnsi="AdvHelN-L"/>
          <w:color w:val="000000"/>
          <w:sz w:val="24"/>
          <w:szCs w:val="24"/>
        </w:rPr>
        <w:t xml:space="preserve">Evaluation of the TME between the two </w:t>
      </w:r>
      <w:r w:rsidRPr="00AD6D80">
        <w:rPr>
          <w:rFonts w:ascii="AdvHelN-L" w:hAnsi="AdvHelN-L"/>
          <w:color w:val="000000"/>
          <w:sz w:val="24"/>
          <w:szCs w:val="24"/>
        </w:rPr>
        <w:t xml:space="preserve">risk </w:t>
      </w:r>
      <w:r w:rsidRPr="00AD6D80">
        <w:rPr>
          <w:rFonts w:ascii="AdvHelN-L" w:hAnsi="AdvHelN-L"/>
          <w:color w:val="000000"/>
          <w:sz w:val="24"/>
          <w:szCs w:val="24"/>
        </w:rPr>
        <w:t>groups</w:t>
      </w:r>
      <w:r w:rsidRPr="00AD6D80">
        <w:rPr>
          <w:rFonts w:ascii="AdvHelN-L" w:hAnsi="AdvHelN-L"/>
          <w:color w:val="000000"/>
          <w:sz w:val="24"/>
          <w:szCs w:val="24"/>
        </w:rPr>
        <w:t xml:space="preserve">. </w:t>
      </w:r>
      <w:r w:rsidRPr="00AD6D80">
        <w:rPr>
          <w:rFonts w:ascii="AdvHelN-L" w:hAnsi="AdvHelN-L"/>
          <w:b/>
          <w:bCs/>
          <w:color w:val="000000"/>
          <w:sz w:val="24"/>
          <w:szCs w:val="24"/>
        </w:rPr>
        <w:t>(A)</w:t>
      </w:r>
      <w:r w:rsidRPr="00AD6D80">
        <w:rPr>
          <w:rFonts w:ascii="AdvHelN-L" w:hAnsi="AdvHelN-L"/>
          <w:color w:val="000000"/>
          <w:sz w:val="24"/>
          <w:szCs w:val="24"/>
        </w:rPr>
        <w:t>Correlations between</w:t>
      </w:r>
      <w:r w:rsidRPr="00AD6D80">
        <w:rPr>
          <w:rFonts w:ascii="AdvHelN-L" w:hAnsi="AdvHelN-L"/>
          <w:color w:val="000000"/>
          <w:sz w:val="24"/>
          <w:szCs w:val="24"/>
        </w:rPr>
        <w:t xml:space="preserve"> risk group</w:t>
      </w:r>
      <w:r w:rsidRPr="00AD6D80">
        <w:rPr>
          <w:rFonts w:ascii="AdvHelN-L" w:hAnsi="AdvHelN-L"/>
          <w:color w:val="000000"/>
          <w:sz w:val="24"/>
          <w:szCs w:val="24"/>
        </w:rPr>
        <w:t xml:space="preserve"> and </w:t>
      </w:r>
      <w:r w:rsidRPr="00AD6D80">
        <w:rPr>
          <w:rFonts w:ascii="AdvHelN-L" w:hAnsi="AdvHelN-L"/>
          <w:color w:val="000000"/>
          <w:sz w:val="24"/>
          <w:szCs w:val="24"/>
        </w:rPr>
        <w:t xml:space="preserve">TME score in </w:t>
      </w:r>
      <w:r w:rsidRPr="00AD6D80">
        <w:rPr>
          <w:rFonts w:ascii="AdvHelN-L" w:hAnsi="AdvHelN-L"/>
          <w:color w:val="000000"/>
          <w:sz w:val="24"/>
          <w:szCs w:val="24"/>
        </w:rPr>
        <w:t>TCGA cohort</w:t>
      </w:r>
      <w:r w:rsidRPr="00AD6D80">
        <w:rPr>
          <w:rFonts w:ascii="AdvHelN-L" w:hAnsi="AdvHelN-L"/>
          <w:color w:val="000000"/>
          <w:sz w:val="24"/>
          <w:szCs w:val="24"/>
        </w:rPr>
        <w:t>.</w:t>
      </w:r>
      <w:r w:rsidRPr="00AD6D80">
        <w:rPr>
          <w:rFonts w:ascii="AdvHelN-L" w:hAnsi="AdvHelN-L"/>
          <w:b/>
          <w:bCs/>
          <w:color w:val="000000"/>
          <w:sz w:val="24"/>
          <w:szCs w:val="24"/>
        </w:rPr>
        <w:t xml:space="preserve"> (B)</w:t>
      </w:r>
      <w:r w:rsidRPr="00AD6D80">
        <w:rPr>
          <w:rFonts w:ascii="AdvHelN-L" w:hAnsi="AdvHelN-L"/>
          <w:color w:val="000000"/>
          <w:sz w:val="24"/>
          <w:szCs w:val="24"/>
        </w:rPr>
        <w:t xml:space="preserve"> </w:t>
      </w:r>
      <w:r w:rsidR="00AD6D80" w:rsidRPr="00AD6D80">
        <w:rPr>
          <w:rFonts w:ascii="AdvHelN-L" w:hAnsi="AdvHelN-L"/>
          <w:color w:val="000000"/>
          <w:sz w:val="24"/>
          <w:szCs w:val="24"/>
        </w:rPr>
        <w:t xml:space="preserve">Correlations between risk group and TME score in </w:t>
      </w:r>
      <w:r w:rsidR="00AD6D80" w:rsidRPr="00AD6D80">
        <w:rPr>
          <w:rFonts w:ascii="AdvHelN-L" w:hAnsi="AdvHelN-L"/>
          <w:color w:val="000000"/>
          <w:sz w:val="24"/>
          <w:szCs w:val="24"/>
        </w:rPr>
        <w:t>GEO</w:t>
      </w:r>
      <w:r w:rsidR="00AD6D80" w:rsidRPr="00AD6D80">
        <w:rPr>
          <w:rFonts w:ascii="AdvHelN-L" w:hAnsi="AdvHelN-L"/>
          <w:color w:val="000000"/>
          <w:sz w:val="24"/>
          <w:szCs w:val="24"/>
        </w:rPr>
        <w:t xml:space="preserve"> cohort.</w:t>
      </w:r>
    </w:p>
    <w:p w14:paraId="61046E68" w14:textId="77777777" w:rsidR="00424280" w:rsidRDefault="00424280">
      <w:pPr>
        <w:widowControl/>
        <w:jc w:val="left"/>
        <w:rPr>
          <w:rFonts w:ascii="AdvHelN-L" w:hAnsi="AdvHelN-L" w:hint="eastAsia"/>
          <w:color w:val="000000"/>
          <w:sz w:val="24"/>
          <w:szCs w:val="24"/>
        </w:rPr>
      </w:pPr>
      <w:r>
        <w:rPr>
          <w:rFonts w:ascii="AdvHelN-L" w:hAnsi="AdvHelN-L" w:hint="eastAsia"/>
          <w:color w:val="000000"/>
          <w:sz w:val="24"/>
          <w:szCs w:val="24"/>
        </w:rPr>
        <w:br w:type="page"/>
      </w:r>
    </w:p>
    <w:p w14:paraId="7E859981" w14:textId="1D98E8DC" w:rsidR="002F0317" w:rsidRDefault="00424280">
      <w:pPr>
        <w:rPr>
          <w:rFonts w:ascii="AdvHelN-L" w:hAnsi="AdvHelN-L"/>
          <w:color w:val="000000"/>
          <w:sz w:val="24"/>
          <w:szCs w:val="24"/>
        </w:rPr>
      </w:pPr>
      <w:r>
        <w:rPr>
          <w:rFonts w:ascii="AdvHelN-L" w:hAnsi="AdvHelN-L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62DF5DCF" wp14:editId="0DEECF71">
            <wp:extent cx="5274310" cy="36010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0C5A" w14:textId="08B2043D" w:rsidR="00424280" w:rsidRPr="00AD6D80" w:rsidRDefault="00424280">
      <w:pPr>
        <w:rPr>
          <w:rFonts w:ascii="AdvHelN-L" w:hAnsi="AdvHelN-L" w:hint="eastAsia"/>
          <w:color w:val="000000"/>
          <w:sz w:val="24"/>
          <w:szCs w:val="24"/>
        </w:rPr>
      </w:pPr>
      <w:r w:rsidRPr="00ED66D8">
        <w:rPr>
          <w:rFonts w:ascii="AdvHelN-L" w:hAnsi="AdvHelN-L"/>
          <w:b/>
          <w:bCs/>
          <w:color w:val="000000"/>
          <w:sz w:val="24"/>
          <w:szCs w:val="24"/>
        </w:rPr>
        <w:t>Figure S</w:t>
      </w:r>
      <w:r>
        <w:rPr>
          <w:rFonts w:ascii="AdvHelN-L" w:hAnsi="AdvHelN-L"/>
          <w:b/>
          <w:bCs/>
          <w:color w:val="000000"/>
          <w:sz w:val="24"/>
          <w:szCs w:val="24"/>
        </w:rPr>
        <w:t>6</w:t>
      </w:r>
      <w:r>
        <w:rPr>
          <w:rFonts w:ascii="AdvHelN-L" w:hAnsi="AdvHelN-L"/>
          <w:b/>
          <w:bCs/>
          <w:color w:val="000000"/>
          <w:sz w:val="24"/>
          <w:szCs w:val="24"/>
        </w:rPr>
        <w:t xml:space="preserve"> </w:t>
      </w:r>
      <w:r>
        <w:rPr>
          <w:rFonts w:ascii="AdvHelN-L" w:hAnsi="AdvHelN-L"/>
          <w:color w:val="000000"/>
          <w:sz w:val="24"/>
          <w:szCs w:val="24"/>
        </w:rPr>
        <w:t>|</w:t>
      </w:r>
      <w:r>
        <w:rPr>
          <w:rFonts w:ascii="AdvHelN-L" w:hAnsi="AdvHelN-L"/>
          <w:color w:val="000000"/>
          <w:sz w:val="24"/>
          <w:szCs w:val="24"/>
        </w:rPr>
        <w:t xml:space="preserve"> </w:t>
      </w:r>
      <w:r w:rsidRPr="00424280">
        <w:rPr>
          <w:rFonts w:ascii="AdvHelN-L" w:hAnsi="AdvHelN-L"/>
          <w:color w:val="000000"/>
          <w:sz w:val="24"/>
          <w:szCs w:val="24"/>
        </w:rPr>
        <w:t>The thermogram shows the frequency of TME infiltrating cells and</w:t>
      </w:r>
      <w:r w:rsidRPr="00424280">
        <w:rPr>
          <w:rFonts w:ascii="AdvHelN-L" w:hAnsi="AdvHelN-L"/>
          <w:color w:val="000000"/>
          <w:sz w:val="24"/>
          <w:szCs w:val="24"/>
        </w:rPr>
        <w:t xml:space="preserve"> </w:t>
      </w:r>
      <w:r w:rsidRPr="00424280">
        <w:rPr>
          <w:rFonts w:ascii="AdvHelN-L" w:hAnsi="AdvHelN-L"/>
          <w:color w:val="000000"/>
          <w:sz w:val="24"/>
          <w:szCs w:val="24"/>
        </w:rPr>
        <w:t xml:space="preserve">immune score among the </w:t>
      </w:r>
      <w:r w:rsidRPr="00424280">
        <w:rPr>
          <w:rFonts w:ascii="AdvHelN-L" w:hAnsi="AdvHelN-L"/>
          <w:color w:val="000000"/>
          <w:sz w:val="24"/>
          <w:szCs w:val="24"/>
        </w:rPr>
        <w:t>risk groups.</w:t>
      </w:r>
    </w:p>
    <w:sectPr w:rsidR="00424280" w:rsidRPr="00AD6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6B63" w14:textId="77777777" w:rsidR="00615990" w:rsidRDefault="00615990" w:rsidP="001F4A7F">
      <w:r>
        <w:separator/>
      </w:r>
    </w:p>
  </w:endnote>
  <w:endnote w:type="continuationSeparator" w:id="0">
    <w:p w14:paraId="6A9252EC" w14:textId="77777777" w:rsidR="00615990" w:rsidRDefault="00615990" w:rsidP="001F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">
    <w:altName w:val="Cambria"/>
    <w:panose1 w:val="00000000000000000000"/>
    <w:charset w:val="00"/>
    <w:family w:val="roman"/>
    <w:notTrueType/>
    <w:pitch w:val="default"/>
  </w:font>
  <w:font w:name="GillSansMT-Bold">
    <w:altName w:val="Cambria"/>
    <w:panose1 w:val="00000000000000000000"/>
    <w:charset w:val="00"/>
    <w:family w:val="roman"/>
    <w:notTrueType/>
    <w:pitch w:val="default"/>
  </w:font>
  <w:font w:name="AdvHelN-L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B3D7" w14:textId="77777777" w:rsidR="00615990" w:rsidRDefault="00615990" w:rsidP="001F4A7F">
      <w:r>
        <w:separator/>
      </w:r>
    </w:p>
  </w:footnote>
  <w:footnote w:type="continuationSeparator" w:id="0">
    <w:p w14:paraId="490B8A2B" w14:textId="77777777" w:rsidR="00615990" w:rsidRDefault="00615990" w:rsidP="001F4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7E"/>
    <w:rsid w:val="0002451D"/>
    <w:rsid w:val="001A60B7"/>
    <w:rsid w:val="001F4A7F"/>
    <w:rsid w:val="002F0317"/>
    <w:rsid w:val="003755B6"/>
    <w:rsid w:val="00424280"/>
    <w:rsid w:val="004E2963"/>
    <w:rsid w:val="00506B52"/>
    <w:rsid w:val="005F66B8"/>
    <w:rsid w:val="00615990"/>
    <w:rsid w:val="007E597E"/>
    <w:rsid w:val="00964FAD"/>
    <w:rsid w:val="00AD6D80"/>
    <w:rsid w:val="00B63CAC"/>
    <w:rsid w:val="00B76598"/>
    <w:rsid w:val="00B876FA"/>
    <w:rsid w:val="00C0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84866"/>
  <w15:chartTrackingRefBased/>
  <w15:docId w15:val="{15E129E7-9185-4BEA-9374-75109710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4A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4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4A7F"/>
    <w:rPr>
      <w:sz w:val="18"/>
      <w:szCs w:val="18"/>
    </w:rPr>
  </w:style>
  <w:style w:type="character" w:customStyle="1" w:styleId="fontstyle01">
    <w:name w:val="fontstyle01"/>
    <w:basedOn w:val="a0"/>
    <w:rsid w:val="00C06228"/>
    <w:rPr>
      <w:rFonts w:ascii="GillSansMT" w:hAnsi="GillSans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C06228"/>
    <w:rPr>
      <w:rFonts w:ascii="GillSansMT-Bold" w:hAnsi="GillSansMT-Bold" w:hint="default"/>
      <w:b/>
      <w:bCs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wzjinjinji@163.com</dc:creator>
  <cp:keywords/>
  <dc:description/>
  <cp:lastModifiedBy>wzjinjinji@163.com</cp:lastModifiedBy>
  <cp:revision>10</cp:revision>
  <dcterms:created xsi:type="dcterms:W3CDTF">2022-02-28T01:29:00Z</dcterms:created>
  <dcterms:modified xsi:type="dcterms:W3CDTF">2022-02-28T08:15:00Z</dcterms:modified>
</cp:coreProperties>
</file>