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FED06" w14:textId="77777777" w:rsidR="00EB53F6" w:rsidRDefault="00EB53F6">
      <w:bookmarkStart w:id="0" w:name="_GoBack"/>
      <w:bookmarkEnd w:id="0"/>
    </w:p>
    <w:p w14:paraId="39B4B7E7" w14:textId="77777777" w:rsidR="00EB53F6" w:rsidRDefault="00EB53F6"/>
    <w:p w14:paraId="64FFDFA6" w14:textId="77777777" w:rsidR="00EB53F6" w:rsidRDefault="00EB53F6">
      <w:pPr>
        <w:rPr>
          <w:b/>
        </w:rPr>
      </w:pPr>
      <w:r w:rsidRPr="00EB53F6">
        <w:rPr>
          <w:b/>
        </w:rPr>
        <w:t>Supplementary Materials and Methods</w:t>
      </w:r>
    </w:p>
    <w:p w14:paraId="4733CF20" w14:textId="77777777" w:rsidR="00175932" w:rsidRDefault="00175932" w:rsidP="00175932">
      <w:pPr>
        <w:snapToGrid w:val="0"/>
        <w:spacing w:line="360" w:lineRule="auto"/>
        <w:jc w:val="both"/>
        <w:rPr>
          <w:rFonts w:cs="Arial"/>
          <w:sz w:val="22"/>
          <w:szCs w:val="22"/>
        </w:rPr>
      </w:pPr>
    </w:p>
    <w:p w14:paraId="299DE714" w14:textId="77777777" w:rsidR="00226BEC" w:rsidRDefault="00226BEC" w:rsidP="00EB53F6">
      <w:pPr>
        <w:snapToGrid w:val="0"/>
        <w:spacing w:line="360" w:lineRule="auto"/>
        <w:jc w:val="both"/>
        <w:rPr>
          <w:rFonts w:cs="Arial"/>
          <w:bCs/>
          <w:i/>
          <w:iCs/>
          <w:sz w:val="22"/>
          <w:szCs w:val="22"/>
        </w:rPr>
      </w:pPr>
    </w:p>
    <w:p w14:paraId="29B6A5AF" w14:textId="77777777" w:rsidR="00EB53F6" w:rsidRPr="00055F73" w:rsidRDefault="00EB53F6" w:rsidP="00EB53F6">
      <w:pPr>
        <w:snapToGrid w:val="0"/>
        <w:spacing w:line="360" w:lineRule="auto"/>
        <w:jc w:val="both"/>
        <w:rPr>
          <w:rFonts w:cs="Arial"/>
          <w:bCs/>
          <w:i/>
          <w:iCs/>
          <w:sz w:val="22"/>
          <w:szCs w:val="22"/>
        </w:rPr>
      </w:pPr>
      <w:r w:rsidRPr="00055F73">
        <w:rPr>
          <w:rFonts w:cs="Arial"/>
          <w:bCs/>
          <w:i/>
          <w:iCs/>
          <w:sz w:val="22"/>
          <w:szCs w:val="22"/>
        </w:rPr>
        <w:t>Chromatin Immunoprecipitation (</w:t>
      </w:r>
      <w:proofErr w:type="spellStart"/>
      <w:r w:rsidRPr="00055F73">
        <w:rPr>
          <w:rFonts w:cs="Arial"/>
          <w:bCs/>
          <w:i/>
          <w:iCs/>
          <w:sz w:val="22"/>
          <w:szCs w:val="22"/>
        </w:rPr>
        <w:t>ChIP</w:t>
      </w:r>
      <w:proofErr w:type="spellEnd"/>
      <w:r w:rsidRPr="00055F73">
        <w:rPr>
          <w:rFonts w:cs="Arial"/>
          <w:bCs/>
          <w:i/>
          <w:iCs/>
          <w:sz w:val="22"/>
          <w:szCs w:val="22"/>
        </w:rPr>
        <w:t>) Assay</w:t>
      </w:r>
      <w:r w:rsidRPr="00055F73">
        <w:rPr>
          <w:rFonts w:cs="Arial"/>
          <w:bCs/>
          <w:i/>
          <w:iCs/>
          <w:sz w:val="22"/>
          <w:szCs w:val="22"/>
          <w:highlight w:val="yellow"/>
        </w:rPr>
        <w:t xml:space="preserve">  </w:t>
      </w:r>
    </w:p>
    <w:p w14:paraId="5EFF05FC" w14:textId="77777777" w:rsidR="00EB53F6" w:rsidRPr="00EB53F6" w:rsidRDefault="00EB53F6" w:rsidP="00EB53F6">
      <w:pPr>
        <w:snapToGrid w:val="0"/>
        <w:spacing w:line="360" w:lineRule="auto"/>
        <w:jc w:val="both"/>
        <w:rPr>
          <w:rFonts w:cs="Arial"/>
          <w:sz w:val="22"/>
          <w:szCs w:val="22"/>
        </w:rPr>
      </w:pPr>
      <w:proofErr w:type="spellStart"/>
      <w:r w:rsidRPr="00EB53F6">
        <w:rPr>
          <w:rFonts w:cs="Arial"/>
          <w:sz w:val="22"/>
          <w:szCs w:val="22"/>
        </w:rPr>
        <w:t>ChIP</w:t>
      </w:r>
      <w:proofErr w:type="spellEnd"/>
      <w:r w:rsidRPr="00EB53F6">
        <w:rPr>
          <w:rFonts w:cs="Arial"/>
          <w:sz w:val="22"/>
          <w:szCs w:val="22"/>
        </w:rPr>
        <w:t xml:space="preserve"> assay was performed using EZ-</w:t>
      </w:r>
      <w:proofErr w:type="spellStart"/>
      <w:r w:rsidRPr="00EB53F6">
        <w:rPr>
          <w:rFonts w:cs="Arial"/>
          <w:sz w:val="22"/>
          <w:szCs w:val="22"/>
        </w:rPr>
        <w:t>ChIP</w:t>
      </w:r>
      <w:proofErr w:type="spellEnd"/>
      <w:r w:rsidRPr="00EB53F6">
        <w:rPr>
          <w:rFonts w:cs="Arial"/>
          <w:sz w:val="22"/>
          <w:szCs w:val="22"/>
        </w:rPr>
        <w:t xml:space="preserve"> kit (Cat#17-371, Millipore) according to the manufacturer's instructions and as </w:t>
      </w:r>
      <w:r w:rsidRPr="00EB53F6">
        <w:rPr>
          <w:rFonts w:cs="Arial"/>
          <w:sz w:val="22"/>
          <w:szCs w:val="22"/>
          <w:shd w:val="clear" w:color="auto" w:fill="FFFFFF"/>
        </w:rPr>
        <w:t xml:space="preserve">described </w:t>
      </w:r>
      <w:r w:rsidRPr="0024756C">
        <w:rPr>
          <w:rFonts w:cs="Arial"/>
          <w:sz w:val="22"/>
          <w:szCs w:val="22"/>
          <w:shd w:val="clear" w:color="auto" w:fill="FFFFFF"/>
        </w:rPr>
        <w:t>previously</w:t>
      </w:r>
      <w:r w:rsidRPr="0024756C">
        <w:rPr>
          <w:rFonts w:cs="Arial"/>
          <w:sz w:val="22"/>
          <w:szCs w:val="22"/>
          <w:shd w:val="clear" w:color="auto" w:fill="FFFFFF"/>
        </w:rPr>
        <w:fldChar w:fldCharType="begin">
          <w:fldData xml:space="preserve">PEVuZE5vdGU+PENpdGU+PEF1dGhvcj5XZWk8L0F1dGhvcj48WWVhcj4yMDA4PC9ZZWFyPjxSZWNO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</w:fldData>
        </w:fldChar>
      </w:r>
      <w:r w:rsidRPr="0024756C">
        <w:rPr>
          <w:rFonts w:cs="Arial"/>
          <w:sz w:val="22"/>
          <w:szCs w:val="22"/>
          <w:shd w:val="clear" w:color="auto" w:fill="FFFFFF"/>
        </w:rPr>
        <w:instrText xml:space="preserve"> ADDIN EN.CITE </w:instrText>
      </w:r>
      <w:r w:rsidRPr="0024756C">
        <w:rPr>
          <w:rFonts w:cs="Arial"/>
          <w:sz w:val="22"/>
          <w:szCs w:val="22"/>
          <w:shd w:val="clear" w:color="auto" w:fill="FFFFFF"/>
        </w:rPr>
        <w:fldChar w:fldCharType="begin">
          <w:fldData xml:space="preserve">PEVuZE5vdGU+PENpdGU+PEF1dGhvcj5XZWk8L0F1dGhvcj48WWVhcj4yMDA4PC9ZZWFyPjxSZWNO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</w:fldData>
        </w:fldChar>
      </w:r>
      <w:r w:rsidRPr="0024756C">
        <w:rPr>
          <w:rFonts w:cs="Arial"/>
          <w:sz w:val="22"/>
          <w:szCs w:val="22"/>
          <w:shd w:val="clear" w:color="auto" w:fill="FFFFFF"/>
        </w:rPr>
        <w:instrText xml:space="preserve"> ADDIN EN.CITE.DATA </w:instrText>
      </w:r>
      <w:r w:rsidRPr="0024756C">
        <w:rPr>
          <w:rFonts w:cs="Arial"/>
          <w:sz w:val="22"/>
          <w:szCs w:val="22"/>
          <w:shd w:val="clear" w:color="auto" w:fill="FFFFFF"/>
        </w:rPr>
      </w:r>
      <w:r w:rsidRPr="0024756C">
        <w:rPr>
          <w:rFonts w:cs="Arial"/>
          <w:sz w:val="22"/>
          <w:szCs w:val="22"/>
          <w:shd w:val="clear" w:color="auto" w:fill="FFFFFF"/>
        </w:rPr>
        <w:fldChar w:fldCharType="end"/>
      </w:r>
      <w:r w:rsidRPr="0024756C">
        <w:rPr>
          <w:rFonts w:cs="Arial"/>
          <w:sz w:val="22"/>
          <w:szCs w:val="22"/>
          <w:shd w:val="clear" w:color="auto" w:fill="FFFFFF"/>
        </w:rPr>
      </w:r>
      <w:r w:rsidRPr="0024756C">
        <w:rPr>
          <w:rFonts w:cs="Arial"/>
          <w:sz w:val="22"/>
          <w:szCs w:val="22"/>
          <w:shd w:val="clear" w:color="auto" w:fill="FFFFFF"/>
        </w:rPr>
        <w:fldChar w:fldCharType="separate"/>
      </w:r>
      <w:r w:rsidR="003B7196" w:rsidRPr="0024756C">
        <w:rPr>
          <w:rFonts w:cs="Arial"/>
          <w:noProof/>
          <w:sz w:val="22"/>
          <w:szCs w:val="22"/>
          <w:shd w:val="clear" w:color="auto" w:fill="FFFFFF"/>
          <w:vertAlign w:val="superscript"/>
        </w:rPr>
        <w:t>1</w:t>
      </w:r>
      <w:r w:rsidRPr="0024756C">
        <w:rPr>
          <w:rFonts w:cs="Arial"/>
          <w:sz w:val="22"/>
          <w:szCs w:val="22"/>
          <w:shd w:val="clear" w:color="auto" w:fill="FFFFFF"/>
        </w:rPr>
        <w:fldChar w:fldCharType="end"/>
      </w:r>
      <w:r w:rsidRPr="0024756C">
        <w:rPr>
          <w:rFonts w:cs="Arial"/>
          <w:sz w:val="22"/>
          <w:szCs w:val="22"/>
          <w:shd w:val="clear" w:color="auto" w:fill="FFFFFF"/>
        </w:rPr>
        <w:t>.</w:t>
      </w:r>
      <w:r w:rsidRPr="00EB53F6">
        <w:rPr>
          <w:rFonts w:cs="Arial"/>
          <w:sz w:val="22"/>
          <w:szCs w:val="22"/>
        </w:rPr>
        <w:t xml:space="preserve"> Control IgG or anti-VDR antibody was used for immunoprecipitation. The resulting immunocomplexes were purified and used as templates for qPCR amplification of three fragments in the MUC1 promoter region with </w:t>
      </w:r>
      <w:proofErr w:type="spellStart"/>
      <w:r w:rsidRPr="00EB53F6">
        <w:rPr>
          <w:rFonts w:cs="Arial"/>
          <w:sz w:val="22"/>
          <w:szCs w:val="22"/>
        </w:rPr>
        <w:t>PowerUp</w:t>
      </w:r>
      <w:proofErr w:type="spellEnd"/>
      <w:r w:rsidRPr="00EB53F6">
        <w:rPr>
          <w:rFonts w:cs="Arial"/>
          <w:sz w:val="22"/>
          <w:szCs w:val="22"/>
        </w:rPr>
        <w:t xml:space="preserve"> SYBR Green Master 34 Mix (Applied Biosystems) using the corresponding primers as described in Supplementary Table 1. </w:t>
      </w:r>
    </w:p>
    <w:p w14:paraId="78958576" w14:textId="77777777" w:rsidR="00EB53F6" w:rsidRPr="00EB53F6" w:rsidRDefault="00EB53F6" w:rsidP="00EB53F6">
      <w:pPr>
        <w:snapToGrid w:val="0"/>
        <w:spacing w:line="360" w:lineRule="auto"/>
        <w:jc w:val="both"/>
        <w:rPr>
          <w:rFonts w:cs="Arial"/>
          <w:sz w:val="22"/>
          <w:szCs w:val="22"/>
        </w:rPr>
      </w:pPr>
    </w:p>
    <w:p w14:paraId="1B2DF5CF" w14:textId="77777777" w:rsidR="00EB53F6" w:rsidRPr="00055F73" w:rsidRDefault="00EB53F6" w:rsidP="00EB53F6">
      <w:pPr>
        <w:snapToGrid w:val="0"/>
        <w:spacing w:line="360" w:lineRule="auto"/>
        <w:jc w:val="both"/>
        <w:rPr>
          <w:rFonts w:cs="Arial"/>
          <w:i/>
          <w:sz w:val="22"/>
          <w:szCs w:val="22"/>
        </w:rPr>
      </w:pPr>
      <w:r w:rsidRPr="00055F73">
        <w:rPr>
          <w:rFonts w:cs="Arial"/>
          <w:i/>
          <w:sz w:val="22"/>
          <w:szCs w:val="22"/>
        </w:rPr>
        <w:t>Immunofluorescence Assay</w:t>
      </w:r>
    </w:p>
    <w:p w14:paraId="4D3BB614" w14:textId="77777777" w:rsidR="00EB53F6" w:rsidRPr="00EB53F6" w:rsidRDefault="00EB53F6" w:rsidP="00EB53F6">
      <w:pPr>
        <w:snapToGrid w:val="0"/>
        <w:spacing w:line="360" w:lineRule="auto"/>
        <w:jc w:val="both"/>
        <w:rPr>
          <w:rFonts w:cs="Arial"/>
          <w:sz w:val="22"/>
          <w:szCs w:val="22"/>
        </w:rPr>
      </w:pPr>
      <w:r w:rsidRPr="00EB53F6">
        <w:rPr>
          <w:rFonts w:cs="Arial"/>
          <w:sz w:val="22"/>
          <w:szCs w:val="22"/>
        </w:rPr>
        <w:t>Cells grown in Falco four-well chambered cell culture slides were fixed with 4% paraformaldehyde in phosphate-buffered saline (PBS) for 10 minutes. Then, fixed cells were blocked by incubation with 5% bovine serum albumin (BSA) solution containing 0.2% Triton X-100 for 30 minutes. After briefly washing with PBST once, diluted VDR antibody (1:500) and MUC1 antibody (1:1000) were mixed in 5% BSA solution and incubated with cells overnight at 4°C. After three washes with PBST, cells were incubated with Alexa Fluro 594-labelled or Alexa Fluro 488-labelled secondary antibodies (Thermo Fisher Scientific) for 2 hours at room temperature. Cells were washed, mounted with prolong gold antifade reagent with DAPI (Thermo Fisher Scientific), viewed, and photographed under a fluorescence microscope (Leica).</w:t>
      </w:r>
    </w:p>
    <w:p w14:paraId="06C4F9BB" w14:textId="77777777" w:rsidR="00EB53F6" w:rsidRDefault="00EB53F6"/>
    <w:p w14:paraId="4DAD33F4" w14:textId="77777777" w:rsidR="003B7196" w:rsidRPr="00055F73" w:rsidRDefault="003B7196" w:rsidP="003B7196">
      <w:pPr>
        <w:snapToGrid w:val="0"/>
        <w:spacing w:line="360" w:lineRule="auto"/>
        <w:jc w:val="both"/>
        <w:rPr>
          <w:rFonts w:cs="Arial"/>
          <w:bCs/>
          <w:i/>
          <w:iCs/>
          <w:sz w:val="22"/>
          <w:szCs w:val="22"/>
        </w:rPr>
      </w:pPr>
      <w:r w:rsidRPr="003B7196">
        <w:rPr>
          <w:rFonts w:cs="Arial"/>
          <w:sz w:val="22"/>
          <w:szCs w:val="22"/>
        </w:rPr>
        <w:t xml:space="preserve"> </w:t>
      </w:r>
      <w:r w:rsidRPr="00055F73">
        <w:rPr>
          <w:rFonts w:cs="Arial"/>
          <w:bCs/>
          <w:i/>
          <w:iCs/>
          <w:sz w:val="22"/>
          <w:szCs w:val="22"/>
        </w:rPr>
        <w:t xml:space="preserve">Immunohistochemical Analysis </w:t>
      </w:r>
    </w:p>
    <w:p w14:paraId="08AEFA40" w14:textId="77777777" w:rsidR="003B7196" w:rsidRPr="003B7196" w:rsidRDefault="003B7196" w:rsidP="003B7196">
      <w:pPr>
        <w:snapToGrid w:val="0"/>
        <w:spacing w:line="360" w:lineRule="auto"/>
        <w:jc w:val="both"/>
        <w:rPr>
          <w:rFonts w:cs="Arial"/>
          <w:sz w:val="22"/>
          <w:szCs w:val="22"/>
        </w:rPr>
      </w:pPr>
      <w:r w:rsidRPr="003B7196">
        <w:rPr>
          <w:rFonts w:cs="Arial"/>
          <w:sz w:val="22"/>
          <w:szCs w:val="22"/>
        </w:rPr>
        <w:t xml:space="preserve">VDR, MUC1, and Ki67 expressions in pancreatic tumor tissues were analyzed. The tissue samples were obtained from xenograft and orthotopic mouse models of pancreatic cancer and their use was approved by the Institutional Review Board of MD Anderson Cancer Center. Tissue sections (4 µm thick) of formalin-fixed, paraffin-embedded tumor specimens were deparaffinized in xylene and rehydrated in graded alcohol. Standard immunohistochemical procedures were performed on the mouse tissue sections using anti-VDR, anti-MUC1, or anti-Ki67 antibody. A positive reaction was indicated by brown membrane, cytoplasmic, and/or nuclear staining, depending on the antibody used. The staining result was determined by the percentage of positive cells and staining intensity and scored as described previously </w:t>
      </w:r>
      <w:r w:rsidRPr="003B7196">
        <w:rPr>
          <w:rFonts w:cs="Arial"/>
          <w:sz w:val="22"/>
          <w:szCs w:val="22"/>
        </w:rPr>
        <w:fldChar w:fldCharType="begin">
          <w:fldData xml:space="preserve">PEVuZE5vdGU+PENpdGU+PEF1dGhvcj5ZYW48L0F1dGhvcj48WWVhcj4yMDE2PC9ZZWFyPjxSZWNO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YW5jZXIgcmVzZWFyY2g8L2FiYnItMT48L2FsdC1wZXJpb2RpY2FsPjxwYWdlcz4yNDE5LTMxPC9w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</w:fldData>
        </w:fldChar>
      </w:r>
      <w:r w:rsidRPr="003B7196">
        <w:rPr>
          <w:rFonts w:cs="Arial"/>
          <w:sz w:val="22"/>
          <w:szCs w:val="22"/>
        </w:rPr>
        <w:instrText xml:space="preserve"> ADDIN EN.CITE </w:instrText>
      </w:r>
      <w:r w:rsidRPr="003B7196">
        <w:rPr>
          <w:rFonts w:cs="Arial"/>
          <w:sz w:val="22"/>
          <w:szCs w:val="22"/>
        </w:rPr>
        <w:fldChar w:fldCharType="begin">
          <w:fldData xml:space="preserve">PEVuZE5vdGU+PENpdGU+PEF1dGhvcj5ZYW48L0F1dGhvcj48WWVhcj4yMDE2PC9ZZWFyPjxSZWNO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YW5jZXIgcmVzZWFyY2g8L2FiYnItMT48L2FsdC1wZXJpb2RpY2FsPjxwYWdlcz4yNDE5LTMxPC9w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</w:fldData>
        </w:fldChar>
      </w:r>
      <w:r w:rsidRPr="003B7196">
        <w:rPr>
          <w:rFonts w:cs="Arial"/>
          <w:sz w:val="22"/>
          <w:szCs w:val="22"/>
        </w:rPr>
        <w:instrText xml:space="preserve"> ADDIN EN.CITE.DATA </w:instrText>
      </w:r>
      <w:r w:rsidRPr="003B7196">
        <w:rPr>
          <w:rFonts w:cs="Arial"/>
          <w:sz w:val="22"/>
          <w:szCs w:val="22"/>
        </w:rPr>
      </w:r>
      <w:r w:rsidRPr="003B7196">
        <w:rPr>
          <w:rFonts w:cs="Arial"/>
          <w:sz w:val="22"/>
          <w:szCs w:val="22"/>
        </w:rPr>
        <w:fldChar w:fldCharType="end"/>
      </w:r>
      <w:r w:rsidRPr="003B7196">
        <w:rPr>
          <w:rFonts w:cs="Arial"/>
          <w:sz w:val="22"/>
          <w:szCs w:val="22"/>
        </w:rPr>
      </w:r>
      <w:r w:rsidRPr="003B7196">
        <w:rPr>
          <w:rFonts w:cs="Arial"/>
          <w:sz w:val="22"/>
          <w:szCs w:val="22"/>
        </w:rPr>
        <w:fldChar w:fldCharType="separate"/>
      </w:r>
      <w:r w:rsidR="00922494">
        <w:rPr>
          <w:rFonts w:cs="Arial"/>
          <w:noProof/>
          <w:sz w:val="22"/>
          <w:szCs w:val="22"/>
          <w:vertAlign w:val="superscript"/>
        </w:rPr>
        <w:t>2</w:t>
      </w:r>
      <w:r w:rsidRPr="003B7196">
        <w:rPr>
          <w:rFonts w:cs="Arial"/>
          <w:sz w:val="22"/>
          <w:szCs w:val="22"/>
        </w:rPr>
        <w:fldChar w:fldCharType="end"/>
      </w:r>
      <w:r w:rsidRPr="003B7196">
        <w:rPr>
          <w:rFonts w:cs="Arial"/>
          <w:sz w:val="22"/>
          <w:szCs w:val="22"/>
        </w:rPr>
        <w:t>.</w:t>
      </w:r>
    </w:p>
    <w:p w14:paraId="3BC31E3A" w14:textId="77777777" w:rsidR="003B7196" w:rsidRDefault="003B7196"/>
    <w:p w14:paraId="476B5AA8" w14:textId="77777777" w:rsidR="003B7196" w:rsidRPr="006F5E59" w:rsidRDefault="003B7196">
      <w:pPr>
        <w:rPr>
          <w:sz w:val="22"/>
          <w:szCs w:val="22"/>
        </w:rPr>
      </w:pPr>
    </w:p>
    <w:p w14:paraId="7C81B2B9" w14:textId="77777777" w:rsidR="003B7196" w:rsidRPr="006F5E59" w:rsidRDefault="003B7196">
      <w:pPr>
        <w:rPr>
          <w:b/>
          <w:sz w:val="22"/>
          <w:szCs w:val="22"/>
        </w:rPr>
      </w:pPr>
      <w:r w:rsidRPr="006F5E59">
        <w:rPr>
          <w:b/>
          <w:sz w:val="22"/>
          <w:szCs w:val="22"/>
        </w:rPr>
        <w:lastRenderedPageBreak/>
        <w:t>References</w:t>
      </w:r>
    </w:p>
    <w:p w14:paraId="16B25F4B" w14:textId="77777777" w:rsidR="003B7196" w:rsidRPr="006F5E59" w:rsidRDefault="003B7196">
      <w:pPr>
        <w:rPr>
          <w:b/>
          <w:sz w:val="22"/>
          <w:szCs w:val="22"/>
        </w:rPr>
      </w:pPr>
    </w:p>
    <w:p w14:paraId="53FE6BEE" w14:textId="77777777" w:rsidR="003B7196" w:rsidRPr="006F5E59" w:rsidRDefault="003B7196" w:rsidP="003B7196">
      <w:pPr>
        <w:pStyle w:val="ListParagraph"/>
        <w:numPr>
          <w:ilvl w:val="0"/>
          <w:numId w:val="2"/>
        </w:numPr>
        <w:snapToGrid w:val="0"/>
        <w:spacing w:line="360" w:lineRule="auto"/>
        <w:ind w:left="540" w:hanging="540"/>
        <w:jc w:val="both"/>
        <w:rPr>
          <w:rFonts w:cs="Arial"/>
          <w:noProof/>
          <w:sz w:val="22"/>
          <w:szCs w:val="22"/>
        </w:rPr>
      </w:pPr>
      <w:r w:rsidRPr="006F5E59">
        <w:rPr>
          <w:rFonts w:cs="Arial"/>
          <w:noProof/>
          <w:sz w:val="22"/>
          <w:szCs w:val="22"/>
        </w:rPr>
        <w:t>Wei D, Kanai M, Jia Z, et al. Kruppel-like factor 4 induces p27Kip1 expression in and suppresses the growth and metastasis of human pancreatic cancer cells. Cancer Res 2008;68:4631-9.</w:t>
      </w:r>
    </w:p>
    <w:p w14:paraId="627F5F54" w14:textId="77777777" w:rsidR="003B7196" w:rsidRPr="006F5E59" w:rsidRDefault="003B7196" w:rsidP="003B7196">
      <w:pPr>
        <w:pStyle w:val="ListParagraph"/>
        <w:numPr>
          <w:ilvl w:val="0"/>
          <w:numId w:val="2"/>
        </w:numPr>
        <w:ind w:left="540" w:hanging="540"/>
        <w:rPr>
          <w:b/>
          <w:sz w:val="22"/>
          <w:szCs w:val="22"/>
        </w:rPr>
      </w:pPr>
      <w:r w:rsidRPr="006F5E59">
        <w:rPr>
          <w:sz w:val="22"/>
          <w:szCs w:val="22"/>
        </w:rPr>
        <w:t>Yan Y, Li Z, Kong X, et al. KLF4-Mediated Suppression of CD44 Signaling Negatively Impacts Pancreatic Cancer Stemness and Metastasis. Cancer Res 2016;</w:t>
      </w:r>
      <w:r w:rsidR="000F26AB" w:rsidRPr="006F5E59">
        <w:rPr>
          <w:sz w:val="22"/>
          <w:szCs w:val="22"/>
        </w:rPr>
        <w:t xml:space="preserve"> </w:t>
      </w:r>
      <w:r w:rsidRPr="006F5E59">
        <w:rPr>
          <w:sz w:val="22"/>
          <w:szCs w:val="22"/>
        </w:rPr>
        <w:t>76:2419-31.</w:t>
      </w:r>
    </w:p>
    <w:p w14:paraId="4B78F980" w14:textId="77777777" w:rsidR="006F5E59" w:rsidRPr="006F5E59" w:rsidRDefault="006F5E59" w:rsidP="006F5E59">
      <w:pPr>
        <w:rPr>
          <w:b/>
          <w:sz w:val="22"/>
          <w:szCs w:val="22"/>
        </w:rPr>
      </w:pPr>
    </w:p>
    <w:p w14:paraId="7B08711F" w14:textId="77777777" w:rsidR="006F5E59" w:rsidRDefault="006F5E59" w:rsidP="006F5E59">
      <w:pPr>
        <w:rPr>
          <w:b/>
        </w:rPr>
      </w:pPr>
    </w:p>
    <w:p w14:paraId="0DE8B95C" w14:textId="77777777" w:rsidR="00055F73" w:rsidRDefault="00055F73" w:rsidP="006F5E59">
      <w:pPr>
        <w:rPr>
          <w:b/>
        </w:rPr>
      </w:pPr>
    </w:p>
    <w:p w14:paraId="341BC515" w14:textId="77777777" w:rsidR="006F5E59" w:rsidRPr="006F5E59" w:rsidRDefault="006F5E59" w:rsidP="006F5E59">
      <w:pPr>
        <w:rPr>
          <w:b/>
          <w:sz w:val="22"/>
          <w:szCs w:val="22"/>
        </w:rPr>
      </w:pPr>
      <w:r w:rsidRPr="006F5E59">
        <w:rPr>
          <w:b/>
          <w:sz w:val="22"/>
          <w:szCs w:val="22"/>
        </w:rPr>
        <w:t>Supplemental Table</w:t>
      </w:r>
      <w:r w:rsidR="00055F73">
        <w:rPr>
          <w:b/>
          <w:sz w:val="22"/>
          <w:szCs w:val="22"/>
        </w:rPr>
        <w:t xml:space="preserve"> </w:t>
      </w:r>
      <w:r w:rsidRPr="006F5E59">
        <w:rPr>
          <w:b/>
          <w:sz w:val="22"/>
          <w:szCs w:val="22"/>
        </w:rPr>
        <w:t xml:space="preserve">1 </w:t>
      </w:r>
    </w:p>
    <w:p w14:paraId="2864751F" w14:textId="77777777" w:rsidR="006F5E59" w:rsidRDefault="00055F73" w:rsidP="006F5E59">
      <w:pPr>
        <w:rPr>
          <w:b/>
        </w:rPr>
      </w:pPr>
      <w:r w:rsidRPr="00055F73">
        <w:rPr>
          <w:b/>
          <w:noProof/>
          <w:sz w:val="22"/>
          <w:szCs w:val="22"/>
          <w:lang w:eastAsia="zh-CN"/>
        </w:rPr>
        <mc:AlternateContent>
          <mc:Choice Requires="wps">
            <w:drawing>
              <wp:anchor distT="0" distB="0" distL="114300" distR="114300" simplePos="0" relativeHeight="251662336" behindDoc="0" locked="0" layoutInCell="1" allowOverlap="1" wp14:anchorId="43DF5501" wp14:editId="69CCCF38">
                <wp:simplePos x="0" y="0"/>
                <wp:positionH relativeFrom="column">
                  <wp:posOffset>238125</wp:posOffset>
                </wp:positionH>
                <wp:positionV relativeFrom="paragraph">
                  <wp:posOffset>74295</wp:posOffset>
                </wp:positionV>
                <wp:extent cx="3075423" cy="261610"/>
                <wp:effectExtent l="0" t="0" r="0" b="0"/>
                <wp:wrapNone/>
                <wp:docPr id="29" name="TextBox 28"/>
                <wp:cNvGraphicFramePr/>
                <a:graphic xmlns:a="http://schemas.openxmlformats.org/drawingml/2006/main">
                  <a:graphicData uri="http://schemas.microsoft.com/office/word/2010/wordprocessingShape">
                    <wps:wsp>
                      <wps:cNvSpPr txBox="1"/>
                      <wps:spPr>
                        <a:xfrm>
                          <a:off x="0" y="0"/>
                          <a:ext cx="3075423" cy="261610"/>
                        </a:xfrm>
                        <a:prstGeom prst="rect">
                          <a:avLst/>
                        </a:prstGeom>
                        <a:noFill/>
                      </wps:spPr>
                      <wps:txbx>
                        <w:txbxContent>
                          <w:p w14:paraId="00B75A45" w14:textId="77777777" w:rsidR="00055F73" w:rsidRDefault="00055F73" w:rsidP="00055F73">
                            <w:pPr>
                              <w:pStyle w:val="NormalWeb"/>
                              <w:spacing w:before="0" w:beforeAutospacing="0" w:after="0" w:afterAutospacing="0"/>
                              <w:jc w:val="center"/>
                            </w:pPr>
                            <w:r>
                              <w:rPr>
                                <w:rFonts w:ascii="Arial" w:hAnsi="Arial" w:cs="Arial"/>
                                <w:b/>
                                <w:bCs/>
                                <w:color w:val="000000" w:themeColor="text1"/>
                                <w:kern w:val="24"/>
                                <w:sz w:val="22"/>
                                <w:szCs w:val="22"/>
                              </w:rPr>
                              <w:t>Table 1. Primers used in present study</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43DF5501" id="_x0000_t202" coordsize="21600,21600" o:spt="202" path="m,l,21600r21600,l21600,xe">
                <v:stroke joinstyle="miter"/>
                <v:path gradientshapeok="t" o:connecttype="rect"/>
              </v:shapetype>
              <v:shape id="TextBox 28" o:spid="_x0000_s1026" type="#_x0000_t202" style="position:absolute;margin-left:18.75pt;margin-top:5.85pt;width:242.15pt;height:2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" filled="f" stroked="f">
                <v:textbox style="mso-fit-shape-to-text:t">
                  <w:txbxContent>
                    <w:p w14:paraId="00B75A45" w14:textId="77777777" w:rsidR="00055F73" w:rsidRDefault="00055F73" w:rsidP="00055F73">
                      <w:pPr>
                        <w:pStyle w:val="NormalWeb"/>
                        <w:spacing w:before="0" w:beforeAutospacing="0" w:after="0" w:afterAutospacing="0"/>
                        <w:jc w:val="center"/>
                      </w:pPr>
                      <w:r>
                        <w:rPr>
                          <w:rFonts w:ascii="Arial" w:hAnsi="Arial" w:cs="Arial"/>
                          <w:b/>
                          <w:bCs/>
                          <w:color w:val="000000" w:themeColor="text1"/>
                          <w:kern w:val="24"/>
                          <w:sz w:val="22"/>
                          <w:szCs w:val="22"/>
                        </w:rPr>
                        <w:t>Table 1. Primers used in present study</w:t>
                      </w:r>
                    </w:p>
                  </w:txbxContent>
                </v:textbox>
              </v:shape>
            </w:pict>
          </mc:Fallback>
        </mc:AlternateContent>
      </w:r>
    </w:p>
    <w:p w14:paraId="30EDEC79" w14:textId="77777777" w:rsidR="006F5E59" w:rsidRDefault="006F5E59" w:rsidP="006F5E59">
      <w:pPr>
        <w:rPr>
          <w:b/>
        </w:rPr>
      </w:pPr>
    </w:p>
    <w:tbl>
      <w:tblPr>
        <w:tblW w:w="5720" w:type="dxa"/>
        <w:tblCellMar>
          <w:left w:w="0" w:type="dxa"/>
          <w:right w:w="0" w:type="dxa"/>
        </w:tblCellMar>
        <w:tblLook w:val="04A0" w:firstRow="1" w:lastRow="0" w:firstColumn="1" w:lastColumn="0" w:noHBand="0" w:noVBand="1"/>
      </w:tblPr>
      <w:tblGrid>
        <w:gridCol w:w="1640"/>
        <w:gridCol w:w="4080"/>
      </w:tblGrid>
      <w:tr w:rsidR="006F5E59" w:rsidRPr="006F5E59" w14:paraId="283B76FC" w14:textId="77777777" w:rsidTr="006F5E59">
        <w:trPr>
          <w:trHeight w:val="33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32959900" w14:textId="77777777" w:rsidR="006F5E59" w:rsidRPr="006F5E59" w:rsidRDefault="006F5E59" w:rsidP="006F5E59">
            <w:pPr>
              <w:snapToGrid w:val="0"/>
              <w:jc w:val="center"/>
              <w:textAlignment w:val="center"/>
              <w:rPr>
                <w:rFonts w:eastAsia="Times New Roman" w:cs="Arial"/>
                <w:snapToGrid/>
                <w:sz w:val="36"/>
                <w:szCs w:val="36"/>
                <w:lang w:eastAsia="zh-CN"/>
              </w:rPr>
            </w:pPr>
            <w:r w:rsidRPr="006F5E59">
              <w:rPr>
                <w:rFonts w:eastAsia="Times New Roman" w:cs="Arial"/>
                <w:b/>
                <w:bCs/>
                <w:snapToGrid/>
                <w:color w:val="000000"/>
                <w:kern w:val="24"/>
                <w:sz w:val="22"/>
                <w:szCs w:val="22"/>
                <w:lang w:eastAsia="zh-CN"/>
              </w:rPr>
              <w:t>Primer name</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301B73EF" w14:textId="77777777" w:rsidR="006F5E59" w:rsidRPr="006F5E59" w:rsidRDefault="006F5E59" w:rsidP="006F5E59">
            <w:pPr>
              <w:snapToGrid w:val="0"/>
              <w:jc w:val="center"/>
              <w:textAlignment w:val="center"/>
              <w:rPr>
                <w:rFonts w:eastAsia="Times New Roman" w:cs="Arial"/>
                <w:snapToGrid/>
                <w:sz w:val="36"/>
                <w:szCs w:val="36"/>
                <w:lang w:eastAsia="zh-CN"/>
              </w:rPr>
            </w:pPr>
            <w:r w:rsidRPr="006F5E59">
              <w:rPr>
                <w:rFonts w:eastAsia="Times New Roman" w:cs="Arial"/>
                <w:b/>
                <w:bCs/>
                <w:snapToGrid/>
                <w:color w:val="000000"/>
                <w:kern w:val="24"/>
                <w:sz w:val="22"/>
                <w:szCs w:val="22"/>
                <w:lang w:eastAsia="zh-CN"/>
              </w:rPr>
              <w:t>Sequence (5’-3’)</w:t>
            </w:r>
          </w:p>
        </w:tc>
      </w:tr>
      <w:tr w:rsidR="006F5E59" w:rsidRPr="006F5E59" w14:paraId="216B8252" w14:textId="77777777" w:rsidTr="006F5E59">
        <w:trPr>
          <w:trHeight w:val="39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0C506F40"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1 F</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04C8AB97"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CCTCAGCTTGCGCGGCCCAGC</w:t>
            </w:r>
          </w:p>
        </w:tc>
      </w:tr>
      <w:tr w:rsidR="006F5E59" w:rsidRPr="006F5E59" w14:paraId="0E0E8CD1" w14:textId="77777777" w:rsidTr="006F5E59">
        <w:trPr>
          <w:trHeight w:val="465"/>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34733BB0"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1 R</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43C595BF"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CACGCAGTTCTACCCTGAAACC</w:t>
            </w:r>
          </w:p>
        </w:tc>
      </w:tr>
      <w:tr w:rsidR="006F5E59" w:rsidRPr="006F5E59" w14:paraId="0C657A71" w14:textId="77777777" w:rsidTr="006F5E59">
        <w:trPr>
          <w:trHeight w:val="48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5F3CEBE4"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2 F</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3F326BFC"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GCTGGAGTGCAATGGCGCGA</w:t>
            </w:r>
          </w:p>
        </w:tc>
      </w:tr>
      <w:tr w:rsidR="006F5E59" w:rsidRPr="006F5E59" w14:paraId="312EDC43" w14:textId="77777777" w:rsidTr="006F5E59">
        <w:trPr>
          <w:trHeight w:val="51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2C16F700"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2 R</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080E8C73"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GACCAGCCTGGCCAAGATGGTG</w:t>
            </w:r>
          </w:p>
        </w:tc>
      </w:tr>
      <w:tr w:rsidR="006F5E59" w:rsidRPr="006F5E59" w14:paraId="5A2019E5" w14:textId="77777777" w:rsidTr="006F5E59">
        <w:trPr>
          <w:trHeight w:val="405"/>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6DC4D0ED"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3 F</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32900517"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ACAACACTGCACCGCGTCCCG</w:t>
            </w:r>
          </w:p>
        </w:tc>
      </w:tr>
      <w:tr w:rsidR="006F5E59" w:rsidRPr="006F5E59" w14:paraId="06B514A9" w14:textId="77777777" w:rsidTr="006F5E59">
        <w:trPr>
          <w:trHeight w:val="51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1C8E5E87"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site 3 R</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1CCD2FF2"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GACTCCGCAAACTCCCGTTCTCCC</w:t>
            </w:r>
          </w:p>
        </w:tc>
      </w:tr>
      <w:tr w:rsidR="006F5E59" w:rsidRPr="006F5E59" w14:paraId="6C177B7B" w14:textId="77777777" w:rsidTr="006F5E59">
        <w:trPr>
          <w:trHeight w:val="420"/>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6BE63E48"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ctrl F</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7AF03468"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AGGTAAGAATTGCAGACAGAG</w:t>
            </w:r>
          </w:p>
        </w:tc>
      </w:tr>
      <w:tr w:rsidR="006F5E59" w:rsidRPr="006F5E59" w14:paraId="54E30B56" w14:textId="77777777" w:rsidTr="006F5E59">
        <w:trPr>
          <w:trHeight w:val="495"/>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5BE907B5"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MUC ctrl R</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15" w:type="dxa"/>
            </w:tcMar>
            <w:vAlign w:val="center"/>
            <w:hideMark/>
          </w:tcPr>
          <w:p w14:paraId="15D9857F" w14:textId="77777777" w:rsidR="006F5E59" w:rsidRPr="006F5E59" w:rsidRDefault="006F5E59" w:rsidP="006F5E59">
            <w:pPr>
              <w:snapToGrid w:val="0"/>
              <w:textAlignment w:val="center"/>
              <w:rPr>
                <w:rFonts w:eastAsia="Times New Roman" w:cs="Arial"/>
                <w:snapToGrid/>
                <w:sz w:val="36"/>
                <w:szCs w:val="36"/>
                <w:lang w:eastAsia="zh-CN"/>
              </w:rPr>
            </w:pPr>
            <w:r w:rsidRPr="006F5E59">
              <w:rPr>
                <w:rFonts w:eastAsia="Times New Roman" w:cs="Arial"/>
                <w:snapToGrid/>
                <w:color w:val="000000"/>
                <w:kern w:val="24"/>
                <w:sz w:val="22"/>
                <w:szCs w:val="22"/>
                <w:lang w:eastAsia="zh-CN"/>
              </w:rPr>
              <w:t>CTCTGCCCATAGGCCTTGGCTC</w:t>
            </w:r>
          </w:p>
        </w:tc>
      </w:tr>
    </w:tbl>
    <w:p w14:paraId="2536D6E8" w14:textId="77777777" w:rsidR="006F5E59" w:rsidRDefault="006F5E59" w:rsidP="006F5E59">
      <w:pPr>
        <w:rPr>
          <w:b/>
        </w:rPr>
      </w:pPr>
    </w:p>
    <w:sectPr w:rsidR="006F5E5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39FAB" w14:textId="77777777" w:rsidR="00010EEC" w:rsidRDefault="00010EEC" w:rsidP="007E3246">
      <w:r>
        <w:separator/>
      </w:r>
    </w:p>
  </w:endnote>
  <w:endnote w:type="continuationSeparator" w:id="0">
    <w:p w14:paraId="3E14D42F" w14:textId="77777777" w:rsidR="00010EEC" w:rsidRDefault="00010EEC" w:rsidP="007E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237507"/>
      <w:docPartObj>
        <w:docPartGallery w:val="Page Numbers (Bottom of Page)"/>
        <w:docPartUnique/>
      </w:docPartObj>
    </w:sdtPr>
    <w:sdtEndPr>
      <w:rPr>
        <w:noProof/>
      </w:rPr>
    </w:sdtEndPr>
    <w:sdtContent>
      <w:p w14:paraId="02203920" w14:textId="77777777" w:rsidR="007E3246" w:rsidRDefault="007E3246">
        <w:pPr>
          <w:pStyle w:val="Footer"/>
          <w:jc w:val="center"/>
        </w:pPr>
        <w:r>
          <w:fldChar w:fldCharType="begin"/>
        </w:r>
        <w:r>
          <w:instrText xml:space="preserve"> PAGE   \* MERGEFORMAT </w:instrText>
        </w:r>
        <w:r>
          <w:fldChar w:fldCharType="separate"/>
        </w:r>
        <w:r w:rsidR="009E1048">
          <w:rPr>
            <w:noProof/>
          </w:rPr>
          <w:t>1</w:t>
        </w:r>
        <w:r>
          <w:rPr>
            <w:noProof/>
          </w:rPr>
          <w:fldChar w:fldCharType="end"/>
        </w:r>
      </w:p>
    </w:sdtContent>
  </w:sdt>
  <w:p w14:paraId="293C409E" w14:textId="77777777" w:rsidR="007E3246" w:rsidRDefault="007E3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D8236" w14:textId="77777777" w:rsidR="00010EEC" w:rsidRDefault="00010EEC" w:rsidP="007E3246">
      <w:r>
        <w:separator/>
      </w:r>
    </w:p>
  </w:footnote>
  <w:footnote w:type="continuationSeparator" w:id="0">
    <w:p w14:paraId="1133F605" w14:textId="77777777" w:rsidR="00010EEC" w:rsidRDefault="00010EEC" w:rsidP="007E3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224AA"/>
    <w:multiLevelType w:val="hybridMultilevel"/>
    <w:tmpl w:val="E2EC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8346E"/>
    <w:multiLevelType w:val="hybridMultilevel"/>
    <w:tmpl w:val="83E08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008"/>
    <w:rsid w:val="00010EEC"/>
    <w:rsid w:val="00055F73"/>
    <w:rsid w:val="000F26AB"/>
    <w:rsid w:val="00116484"/>
    <w:rsid w:val="00175932"/>
    <w:rsid w:val="001A4A14"/>
    <w:rsid w:val="00226BEC"/>
    <w:rsid w:val="0024756C"/>
    <w:rsid w:val="002A7008"/>
    <w:rsid w:val="002E082F"/>
    <w:rsid w:val="003B7196"/>
    <w:rsid w:val="005C4FB7"/>
    <w:rsid w:val="006F5E59"/>
    <w:rsid w:val="007E3246"/>
    <w:rsid w:val="008E7FA6"/>
    <w:rsid w:val="00922494"/>
    <w:rsid w:val="009E1048"/>
    <w:rsid w:val="00BF0994"/>
    <w:rsid w:val="00E928A1"/>
    <w:rsid w:val="00EB5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60A4"/>
  <w15:chartTrackingRefBased/>
  <w15:docId w15:val="{3F07EDDA-1F33-4C85-B4D2-F1EEF698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008"/>
    <w:pPr>
      <w:spacing w:after="0" w:line="240" w:lineRule="auto"/>
    </w:pPr>
    <w:rPr>
      <w:rFonts w:ascii="Arial" w:eastAsia="DengXian" w:hAnsi="Arial" w:cs="Times New Roman"/>
      <w:snapToGrid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196"/>
    <w:pPr>
      <w:ind w:left="720"/>
      <w:contextualSpacing/>
    </w:pPr>
  </w:style>
  <w:style w:type="paragraph" w:styleId="Header">
    <w:name w:val="header"/>
    <w:basedOn w:val="Normal"/>
    <w:link w:val="HeaderChar"/>
    <w:uiPriority w:val="99"/>
    <w:unhideWhenUsed/>
    <w:rsid w:val="007E3246"/>
    <w:pPr>
      <w:tabs>
        <w:tab w:val="center" w:pos="4680"/>
        <w:tab w:val="right" w:pos="9360"/>
      </w:tabs>
    </w:pPr>
  </w:style>
  <w:style w:type="character" w:customStyle="1" w:styleId="HeaderChar">
    <w:name w:val="Header Char"/>
    <w:basedOn w:val="DefaultParagraphFont"/>
    <w:link w:val="Header"/>
    <w:uiPriority w:val="99"/>
    <w:rsid w:val="007E3246"/>
    <w:rPr>
      <w:rFonts w:ascii="Arial" w:eastAsia="DengXian" w:hAnsi="Arial" w:cs="Times New Roman"/>
      <w:snapToGrid w:val="0"/>
      <w:sz w:val="20"/>
      <w:szCs w:val="20"/>
      <w:lang w:eastAsia="en-US"/>
    </w:rPr>
  </w:style>
  <w:style w:type="paragraph" w:styleId="Footer">
    <w:name w:val="footer"/>
    <w:basedOn w:val="Normal"/>
    <w:link w:val="FooterChar"/>
    <w:uiPriority w:val="99"/>
    <w:unhideWhenUsed/>
    <w:rsid w:val="007E3246"/>
    <w:pPr>
      <w:tabs>
        <w:tab w:val="center" w:pos="4680"/>
        <w:tab w:val="right" w:pos="9360"/>
      </w:tabs>
    </w:pPr>
  </w:style>
  <w:style w:type="character" w:customStyle="1" w:styleId="FooterChar">
    <w:name w:val="Footer Char"/>
    <w:basedOn w:val="DefaultParagraphFont"/>
    <w:link w:val="Footer"/>
    <w:uiPriority w:val="99"/>
    <w:rsid w:val="007E3246"/>
    <w:rPr>
      <w:rFonts w:ascii="Arial" w:eastAsia="DengXian" w:hAnsi="Arial" w:cs="Times New Roman"/>
      <w:snapToGrid w:val="0"/>
      <w:sz w:val="20"/>
      <w:szCs w:val="20"/>
      <w:lang w:eastAsia="en-US"/>
    </w:rPr>
  </w:style>
  <w:style w:type="paragraph" w:styleId="NormalWeb">
    <w:name w:val="Normal (Web)"/>
    <w:basedOn w:val="Normal"/>
    <w:uiPriority w:val="99"/>
    <w:semiHidden/>
    <w:unhideWhenUsed/>
    <w:rsid w:val="006F5E59"/>
    <w:pPr>
      <w:spacing w:before="100" w:beforeAutospacing="1" w:after="100" w:afterAutospacing="1"/>
    </w:pPr>
    <w:rPr>
      <w:rFonts w:ascii="Times New Roman" w:eastAsia="Times New Roman" w:hAnsi="Times New Roman"/>
      <w:snapToGrid/>
      <w:sz w:val="24"/>
      <w:szCs w:val="24"/>
      <w:lang w:eastAsia="zh-CN"/>
    </w:rPr>
  </w:style>
  <w:style w:type="paragraph" w:styleId="BalloonText">
    <w:name w:val="Balloon Text"/>
    <w:basedOn w:val="Normal"/>
    <w:link w:val="BalloonTextChar"/>
    <w:uiPriority w:val="99"/>
    <w:semiHidden/>
    <w:unhideWhenUsed/>
    <w:rsid w:val="00055F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F73"/>
    <w:rPr>
      <w:rFonts w:ascii="Segoe UI" w:eastAsia="DengXian" w:hAnsi="Segoe UI" w:cs="Segoe UI"/>
      <w:snapToGrid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44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Wei,Daoyan</dc:creator>
  <cp:keywords/>
  <dc:description/>
  <cp:lastModifiedBy>Bresalier,Robert</cp:lastModifiedBy>
  <cp:revision>3</cp:revision>
  <dcterms:created xsi:type="dcterms:W3CDTF">2022-06-03T17:31:00Z</dcterms:created>
  <dcterms:modified xsi:type="dcterms:W3CDTF">2022-06-03T18:55:00Z</dcterms:modified>
</cp:coreProperties>
</file>