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5AF8C" w14:textId="77777777" w:rsidR="000E4E79" w:rsidRPr="00C977F7" w:rsidRDefault="000E4E79" w:rsidP="000E4E79">
      <w:pPr>
        <w:rPr>
          <w:rFonts w:ascii="Times New Roman" w:hAnsi="Times New Roman" w:cs="Times New Roman"/>
          <w:b/>
          <w:bCs/>
          <w:color w:val="131413"/>
        </w:rPr>
      </w:pPr>
      <w:r w:rsidRPr="003A4BEC">
        <w:rPr>
          <w:rFonts w:ascii="Times New Roman" w:hAnsi="Times New Roman" w:cs="Times New Roman"/>
          <w:b/>
          <w:bCs/>
          <w:color w:val="131413"/>
        </w:rPr>
        <w:t>Supplementary</w:t>
      </w:r>
      <w:r>
        <w:rPr>
          <w:rFonts w:ascii="Times New Roman" w:hAnsi="Times New Roman" w:cs="Times New Roman"/>
          <w:b/>
          <w:bCs/>
          <w:color w:val="131413"/>
        </w:rPr>
        <w:t xml:space="preserve"> </w:t>
      </w:r>
      <w:r w:rsidRPr="00C977F7">
        <w:rPr>
          <w:rFonts w:ascii="Times New Roman" w:hAnsi="Times New Roman" w:cs="Times New Roman" w:hint="eastAsia"/>
          <w:b/>
          <w:bCs/>
          <w:color w:val="131413"/>
        </w:rPr>
        <w:t>T</w:t>
      </w:r>
      <w:r w:rsidRPr="00C977F7">
        <w:rPr>
          <w:rFonts w:ascii="Times New Roman" w:hAnsi="Times New Roman" w:cs="Times New Roman"/>
          <w:b/>
          <w:bCs/>
          <w:color w:val="131413"/>
        </w:rPr>
        <w:t xml:space="preserve">able 1 </w:t>
      </w:r>
    </w:p>
    <w:p w14:paraId="01AB1A4D" w14:textId="77777777" w:rsidR="00BB0C3F" w:rsidRDefault="00BB0C3F" w:rsidP="00BB0C3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31413"/>
        </w:rPr>
      </w:pPr>
    </w:p>
    <w:p w14:paraId="7D8C67D8" w14:textId="1C1CB359" w:rsidR="000E4E79" w:rsidRPr="00B02D99" w:rsidRDefault="000E4E79" w:rsidP="00BB0C3F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color w:val="131413"/>
        </w:rPr>
        <w:t xml:space="preserve">2017 </w:t>
      </w:r>
      <w:r w:rsidRPr="00E400B0">
        <w:rPr>
          <w:rFonts w:ascii="Times New Roman" w:hAnsi="Times New Roman" w:cs="Times New Roman"/>
          <w:color w:val="131413"/>
        </w:rPr>
        <w:t>International Federation of Gynecology and Obstetrics Surgical Staging Systems for Endometrial</w:t>
      </w:r>
      <w:r w:rsidRPr="00E400B0">
        <w:rPr>
          <w:rFonts w:ascii="Times New Roman" w:hAnsi="Times New Roman" w:cs="Times New Roman" w:hint="eastAsia"/>
          <w:color w:val="131413"/>
        </w:rPr>
        <w:t xml:space="preserve"> </w:t>
      </w:r>
      <w:r w:rsidRPr="00E400B0">
        <w:rPr>
          <w:rFonts w:ascii="Times New Roman" w:hAnsi="Times New Roman" w:cs="Times New Roman"/>
          <w:color w:val="131413"/>
        </w:rPr>
        <w:t>Cancer</w:t>
      </w:r>
      <w:r>
        <w:rPr>
          <w:rFonts w:ascii="Times New Roman" w:hAnsi="Times New Roman" w:cs="Times New Roman"/>
          <w:color w:val="131413"/>
        </w:rPr>
        <w:t xml:space="preserve">. </w:t>
      </w:r>
    </w:p>
    <w:p w14:paraId="0E78CF72" w14:textId="77777777" w:rsidR="000E4E79" w:rsidRPr="00BE61A5" w:rsidRDefault="000E4E79" w:rsidP="000E4E79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 w:cs="Times New Roman"/>
          <w:sz w:val="22"/>
          <w:szCs w:val="22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0"/>
        <w:gridCol w:w="7371"/>
      </w:tblGrid>
      <w:tr w:rsidR="000E4E79" w14:paraId="42CFAB93" w14:textId="77777777" w:rsidTr="009224DE"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</w:tcPr>
          <w:p w14:paraId="4BBAF333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hAnsi="Times New Roman" w:cs="Times New Roman" w:hint="eastAsia"/>
                <w:color w:val="131413"/>
              </w:rPr>
              <w:t>S</w:t>
            </w:r>
            <w:r>
              <w:rPr>
                <w:rFonts w:ascii="Times New Roman" w:hAnsi="Times New Roman" w:cs="Times New Roman"/>
                <w:color w:val="131413"/>
              </w:rPr>
              <w:t>tage</w:t>
            </w:r>
          </w:p>
        </w:tc>
        <w:tc>
          <w:tcPr>
            <w:tcW w:w="7371" w:type="dxa"/>
            <w:tcBorders>
              <w:top w:val="single" w:sz="4" w:space="0" w:color="auto"/>
              <w:bottom w:val="single" w:sz="4" w:space="0" w:color="auto"/>
            </w:tcBorders>
          </w:tcPr>
          <w:p w14:paraId="5E10BA80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hAnsi="Times New Roman" w:cs="Times New Roman" w:hint="eastAsia"/>
                <w:color w:val="131413"/>
              </w:rPr>
              <w:t>P</w:t>
            </w:r>
            <w:r>
              <w:rPr>
                <w:rFonts w:ascii="Times New Roman" w:hAnsi="Times New Roman" w:cs="Times New Roman"/>
                <w:color w:val="131413"/>
              </w:rPr>
              <w:t>rimary Tumor</w:t>
            </w:r>
          </w:p>
        </w:tc>
      </w:tr>
      <w:tr w:rsidR="000E4E79" w14:paraId="151445F0" w14:textId="77777777" w:rsidTr="009224DE">
        <w:tc>
          <w:tcPr>
            <w:tcW w:w="750" w:type="dxa"/>
            <w:tcBorders>
              <w:top w:val="single" w:sz="4" w:space="0" w:color="auto"/>
            </w:tcBorders>
          </w:tcPr>
          <w:p w14:paraId="33F5EF89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hAnsi="Times New Roman" w:cs="Times New Roman" w:hint="eastAsia"/>
                <w:color w:val="131413"/>
              </w:rPr>
              <w:t>I</w:t>
            </w:r>
            <w:r>
              <w:rPr>
                <w:rFonts w:ascii="Times New Roman" w:hAnsi="Times New Roman" w:cs="Times New Roman"/>
                <w:color w:val="131413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auto"/>
            </w:tcBorders>
          </w:tcPr>
          <w:p w14:paraId="7CF31908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 w:rsidRPr="00B16467">
              <w:rPr>
                <w:rFonts w:ascii="Times New Roman" w:hAnsi="Times New Roman" w:cs="Times New Roman"/>
                <w:color w:val="131413"/>
              </w:rPr>
              <w:t>Tumor conﬁned to the corpus uteri, including endocervical</w:t>
            </w:r>
            <w:r>
              <w:rPr>
                <w:rFonts w:ascii="Times New Roman" w:hAnsi="Times New Roman" w:cs="Times New Roman"/>
                <w:color w:val="131413"/>
              </w:rPr>
              <w:t xml:space="preserve"> </w:t>
            </w:r>
            <w:r w:rsidRPr="00B16467">
              <w:rPr>
                <w:rFonts w:ascii="Times New Roman" w:hAnsi="Times New Roman" w:cs="Times New Roman"/>
                <w:color w:val="131413"/>
              </w:rPr>
              <w:t>glandular involvement</w:t>
            </w:r>
          </w:p>
        </w:tc>
      </w:tr>
      <w:tr w:rsidR="000E4E79" w14:paraId="53E4420C" w14:textId="77777777" w:rsidTr="009224DE">
        <w:tc>
          <w:tcPr>
            <w:tcW w:w="750" w:type="dxa"/>
          </w:tcPr>
          <w:p w14:paraId="45CBCFBE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hAnsi="Times New Roman" w:cs="Times New Roman" w:hint="eastAsia"/>
                <w:color w:val="131413"/>
              </w:rPr>
              <w:t>I</w:t>
            </w:r>
            <w:r>
              <w:rPr>
                <w:rFonts w:ascii="Times New Roman" w:hAnsi="Times New Roman" w:cs="Times New Roman"/>
                <w:color w:val="131413"/>
              </w:rPr>
              <w:t>A</w:t>
            </w:r>
          </w:p>
        </w:tc>
        <w:tc>
          <w:tcPr>
            <w:tcW w:w="7371" w:type="dxa"/>
          </w:tcPr>
          <w:p w14:paraId="36ED97C5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Tumor limited to the endometrium or invading less than half the myometrium</w:t>
            </w:r>
            <w:r>
              <w:rPr>
                <w:rFonts w:ascii="Times New Roman" w:hAnsi="Times New Roman" w:cs="Times New Roman"/>
                <w:color w:val="131413"/>
              </w:rPr>
              <w:t xml:space="preserve"> </w:t>
            </w:r>
          </w:p>
        </w:tc>
      </w:tr>
      <w:tr w:rsidR="000E4E79" w14:paraId="1B639464" w14:textId="77777777" w:rsidTr="009224DE">
        <w:tc>
          <w:tcPr>
            <w:tcW w:w="750" w:type="dxa"/>
          </w:tcPr>
          <w:p w14:paraId="76C6AC42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hAnsi="Times New Roman" w:cs="Times New Roman" w:hint="eastAsia"/>
                <w:color w:val="131413"/>
              </w:rPr>
              <w:t>I</w:t>
            </w:r>
            <w:r>
              <w:rPr>
                <w:rFonts w:ascii="Times New Roman" w:hAnsi="Times New Roman" w:cs="Times New Roman"/>
                <w:color w:val="131413"/>
              </w:rPr>
              <w:t>B</w:t>
            </w:r>
          </w:p>
        </w:tc>
        <w:tc>
          <w:tcPr>
            <w:tcW w:w="7371" w:type="dxa"/>
          </w:tcPr>
          <w:p w14:paraId="3ECB6161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Tumor invading one half or more of the myometrium</w:t>
            </w:r>
          </w:p>
        </w:tc>
      </w:tr>
      <w:tr w:rsidR="000E4E79" w14:paraId="122A1C5D" w14:textId="77777777" w:rsidTr="009224DE">
        <w:tc>
          <w:tcPr>
            <w:tcW w:w="750" w:type="dxa"/>
          </w:tcPr>
          <w:p w14:paraId="5640851C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hAnsi="Times New Roman" w:cs="Times New Roman" w:hint="eastAsia"/>
                <w:color w:val="131413"/>
              </w:rPr>
              <w:t>I</w:t>
            </w:r>
            <w:r>
              <w:rPr>
                <w:rFonts w:ascii="Times New Roman" w:hAnsi="Times New Roman" w:cs="Times New Roman"/>
                <w:color w:val="131413"/>
              </w:rPr>
              <w:t>I</w:t>
            </w:r>
          </w:p>
        </w:tc>
        <w:tc>
          <w:tcPr>
            <w:tcW w:w="7371" w:type="dxa"/>
          </w:tcPr>
          <w:p w14:paraId="043F79A3" w14:textId="77777777" w:rsidR="000E4E79" w:rsidRPr="009E766B" w:rsidRDefault="000E4E79" w:rsidP="009224D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Tumor invading the stromal connective tissue of the cervix but not extending beyond the uterus.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Does NOT include endocervical glandular involvement.</w:t>
            </w:r>
          </w:p>
        </w:tc>
      </w:tr>
      <w:tr w:rsidR="000E4E79" w14:paraId="645CD240" w14:textId="77777777" w:rsidTr="009224DE">
        <w:tc>
          <w:tcPr>
            <w:tcW w:w="750" w:type="dxa"/>
          </w:tcPr>
          <w:p w14:paraId="748ECD76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hAnsi="Times New Roman" w:cs="Times New Roman" w:hint="eastAsia"/>
                <w:color w:val="131413"/>
              </w:rPr>
              <w:t>I</w:t>
            </w:r>
            <w:r>
              <w:rPr>
                <w:rFonts w:ascii="Times New Roman" w:hAnsi="Times New Roman" w:cs="Times New Roman"/>
                <w:color w:val="131413"/>
              </w:rPr>
              <w:t>II</w:t>
            </w:r>
          </w:p>
        </w:tc>
        <w:tc>
          <w:tcPr>
            <w:tcW w:w="7371" w:type="dxa"/>
          </w:tcPr>
          <w:p w14:paraId="256D121E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Tumor involving serosa, adnexa, vagina, or parametrium</w:t>
            </w:r>
          </w:p>
        </w:tc>
      </w:tr>
      <w:tr w:rsidR="000E4E79" w14:paraId="455364AF" w14:textId="77777777" w:rsidTr="009224DE">
        <w:tc>
          <w:tcPr>
            <w:tcW w:w="750" w:type="dxa"/>
          </w:tcPr>
          <w:p w14:paraId="57FADAC8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hAnsi="Times New Roman" w:cs="Times New Roman" w:hint="eastAsia"/>
                <w:color w:val="131413"/>
              </w:rPr>
              <w:t>I</w:t>
            </w:r>
            <w:r>
              <w:rPr>
                <w:rFonts w:ascii="Times New Roman" w:hAnsi="Times New Roman" w:cs="Times New Roman"/>
                <w:color w:val="131413"/>
              </w:rPr>
              <w:t>IIA</w:t>
            </w:r>
          </w:p>
        </w:tc>
        <w:tc>
          <w:tcPr>
            <w:tcW w:w="7371" w:type="dxa"/>
          </w:tcPr>
          <w:p w14:paraId="4DA81C52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Tumor involving the serosa and/or adnexa (direct extension or metastasis)</w:t>
            </w:r>
          </w:p>
        </w:tc>
      </w:tr>
      <w:tr w:rsidR="000E4E79" w14:paraId="137A9ABA" w14:textId="77777777" w:rsidTr="009224DE">
        <w:tc>
          <w:tcPr>
            <w:tcW w:w="750" w:type="dxa"/>
          </w:tcPr>
          <w:p w14:paraId="2B4A60D2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hAnsi="Times New Roman" w:cs="Times New Roman" w:hint="eastAsia"/>
                <w:color w:val="131413"/>
              </w:rPr>
              <w:t>I</w:t>
            </w:r>
            <w:r>
              <w:rPr>
                <w:rFonts w:ascii="Times New Roman" w:hAnsi="Times New Roman" w:cs="Times New Roman"/>
                <w:color w:val="131413"/>
              </w:rPr>
              <w:t>IIB</w:t>
            </w:r>
          </w:p>
        </w:tc>
        <w:tc>
          <w:tcPr>
            <w:tcW w:w="7371" w:type="dxa"/>
          </w:tcPr>
          <w:p w14:paraId="5F712A8F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Vaginal involvement (direct extension or metastasis) or parametrial involvement</w:t>
            </w:r>
          </w:p>
        </w:tc>
      </w:tr>
      <w:tr w:rsidR="000E4E79" w14:paraId="66148A5E" w14:textId="77777777" w:rsidTr="009224DE">
        <w:tc>
          <w:tcPr>
            <w:tcW w:w="750" w:type="dxa"/>
          </w:tcPr>
          <w:p w14:paraId="618E7ED3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hAnsi="Times New Roman" w:cs="Times New Roman" w:hint="eastAsia"/>
                <w:color w:val="131413"/>
              </w:rPr>
              <w:t>IIIC</w:t>
            </w:r>
          </w:p>
        </w:tc>
        <w:tc>
          <w:tcPr>
            <w:tcW w:w="7371" w:type="dxa"/>
          </w:tcPr>
          <w:p w14:paraId="32A459C4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</w:p>
        </w:tc>
      </w:tr>
      <w:tr w:rsidR="000E4E79" w14:paraId="59023FE1" w14:textId="77777777" w:rsidTr="009224DE">
        <w:tc>
          <w:tcPr>
            <w:tcW w:w="750" w:type="dxa"/>
          </w:tcPr>
          <w:p w14:paraId="3D0D3401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hAnsi="Times New Roman" w:cs="Times New Roman" w:hint="eastAsia"/>
                <w:color w:val="131413"/>
              </w:rPr>
              <w:t>IIIC</w:t>
            </w:r>
            <w:r>
              <w:rPr>
                <w:rFonts w:ascii="Times New Roman" w:hAnsi="Times New Roman" w:cs="Times New Roman"/>
                <w:color w:val="131413"/>
              </w:rPr>
              <w:t>1</w:t>
            </w:r>
          </w:p>
        </w:tc>
        <w:tc>
          <w:tcPr>
            <w:tcW w:w="7371" w:type="dxa"/>
          </w:tcPr>
          <w:p w14:paraId="3E90EDDE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Regional lymph node metastasis to pelvic lymph nodes</w:t>
            </w:r>
          </w:p>
        </w:tc>
      </w:tr>
      <w:tr w:rsidR="000E4E79" w14:paraId="57FC0FC0" w14:textId="77777777" w:rsidTr="009224DE">
        <w:tc>
          <w:tcPr>
            <w:tcW w:w="750" w:type="dxa"/>
          </w:tcPr>
          <w:p w14:paraId="46597999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hAnsi="Times New Roman" w:cs="Times New Roman" w:hint="eastAsia"/>
                <w:color w:val="131413"/>
              </w:rPr>
              <w:t>IIIC</w:t>
            </w:r>
            <w:r>
              <w:rPr>
                <w:rFonts w:ascii="Times New Roman" w:hAnsi="Times New Roman" w:cs="Times New Roman"/>
                <w:color w:val="131413"/>
              </w:rPr>
              <w:t>2</w:t>
            </w:r>
          </w:p>
        </w:tc>
        <w:tc>
          <w:tcPr>
            <w:tcW w:w="7371" w:type="dxa"/>
          </w:tcPr>
          <w:p w14:paraId="719ABAC5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Regional lymph node metastasis to para-aortic lymph nodes, with or without positive pelvic lymph nodes</w:t>
            </w:r>
          </w:p>
        </w:tc>
      </w:tr>
      <w:tr w:rsidR="000E4E79" w14:paraId="732514E6" w14:textId="77777777" w:rsidTr="009224DE">
        <w:tc>
          <w:tcPr>
            <w:tcW w:w="750" w:type="dxa"/>
          </w:tcPr>
          <w:p w14:paraId="7BF52013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hAnsi="Times New Roman" w:cs="Times New Roman" w:hint="eastAsia"/>
                <w:color w:val="131413"/>
              </w:rPr>
              <w:t>I</w:t>
            </w:r>
            <w:r>
              <w:rPr>
                <w:rFonts w:ascii="Times New Roman" w:hAnsi="Times New Roman" w:cs="Times New Roman"/>
                <w:color w:val="131413"/>
              </w:rPr>
              <w:t>V</w:t>
            </w:r>
          </w:p>
        </w:tc>
        <w:tc>
          <w:tcPr>
            <w:tcW w:w="7371" w:type="dxa"/>
          </w:tcPr>
          <w:p w14:paraId="05DC6541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</w:p>
        </w:tc>
      </w:tr>
      <w:tr w:rsidR="000E4E79" w14:paraId="010C7A2F" w14:textId="77777777" w:rsidTr="009224DE">
        <w:tc>
          <w:tcPr>
            <w:tcW w:w="750" w:type="dxa"/>
          </w:tcPr>
          <w:p w14:paraId="709FB4C9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hAnsi="Times New Roman" w:cs="Times New Roman" w:hint="eastAsia"/>
                <w:color w:val="131413"/>
              </w:rPr>
              <w:t>IVA</w:t>
            </w:r>
          </w:p>
        </w:tc>
        <w:tc>
          <w:tcPr>
            <w:tcW w:w="7371" w:type="dxa"/>
          </w:tcPr>
          <w:p w14:paraId="39E77F54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hAnsi="Times New Roman" w:cs="Times New Roman" w:hint="eastAsia"/>
                <w:color w:val="131413"/>
              </w:rPr>
              <w:t>T</w:t>
            </w:r>
            <w:r>
              <w:rPr>
                <w:rFonts w:ascii="Times New Roman" w:hAnsi="Times New Roman" w:cs="Times New Roman"/>
                <w:color w:val="131413"/>
              </w:rPr>
              <w:t>umor invading the bladder mucosa and/or bowel mucosa</w:t>
            </w:r>
          </w:p>
        </w:tc>
      </w:tr>
      <w:tr w:rsidR="000E4E79" w14:paraId="1262FBB7" w14:textId="77777777" w:rsidTr="009224DE">
        <w:tc>
          <w:tcPr>
            <w:tcW w:w="750" w:type="dxa"/>
            <w:tcBorders>
              <w:bottom w:val="single" w:sz="4" w:space="0" w:color="auto"/>
            </w:tcBorders>
          </w:tcPr>
          <w:p w14:paraId="56B8072F" w14:textId="77777777" w:rsidR="000E4E79" w:rsidRDefault="000E4E79" w:rsidP="009224DE">
            <w:pPr>
              <w:rPr>
                <w:rFonts w:ascii="Times New Roman" w:hAnsi="Times New Roman" w:cs="Times New Roman"/>
                <w:color w:val="131413"/>
              </w:rPr>
            </w:pPr>
            <w:r>
              <w:rPr>
                <w:rFonts w:ascii="Times New Roman" w:hAnsi="Times New Roman" w:cs="Times New Roman" w:hint="eastAsia"/>
                <w:color w:val="131413"/>
              </w:rPr>
              <w:t>IVB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14:paraId="6CF8730F" w14:textId="77777777" w:rsidR="000E4E79" w:rsidRPr="00797BBE" w:rsidRDefault="000E4E79" w:rsidP="009224D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Distant metastasis (includes metastasis to inguinal lymph nodes, intraperitoneal disease, lung, liver, or bone). (It excludes metastasis to pelvic or para-aortic lymph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nodes, vagina, uterine serosa, or adnexa).</w:t>
            </w:r>
          </w:p>
        </w:tc>
      </w:tr>
    </w:tbl>
    <w:p w14:paraId="7A5F594B" w14:textId="77777777" w:rsidR="000E4E79" w:rsidRDefault="000E4E79" w:rsidP="000E4E79">
      <w:pPr>
        <w:rPr>
          <w:rFonts w:ascii="Times New Roman" w:hAnsi="Times New Roman" w:cs="Times New Roman"/>
          <w:color w:val="131413"/>
        </w:rPr>
      </w:pPr>
    </w:p>
    <w:p w14:paraId="3D61E9D5" w14:textId="77777777" w:rsidR="00CC7357" w:rsidRPr="000E4E79" w:rsidRDefault="00BB0C3F"/>
    <w:sectPr w:rsidR="00CC7357" w:rsidRPr="000E4E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E79"/>
    <w:rsid w:val="00070867"/>
    <w:rsid w:val="00080ACE"/>
    <w:rsid w:val="00092D02"/>
    <w:rsid w:val="000D155D"/>
    <w:rsid w:val="000D1580"/>
    <w:rsid w:val="000D582A"/>
    <w:rsid w:val="000E4E79"/>
    <w:rsid w:val="000F1AB3"/>
    <w:rsid w:val="000F4D2B"/>
    <w:rsid w:val="000F5D8F"/>
    <w:rsid w:val="001408BF"/>
    <w:rsid w:val="0017268E"/>
    <w:rsid w:val="00190B4B"/>
    <w:rsid w:val="001B3D85"/>
    <w:rsid w:val="001B65F5"/>
    <w:rsid w:val="001C1350"/>
    <w:rsid w:val="00205C95"/>
    <w:rsid w:val="0026499C"/>
    <w:rsid w:val="002B403C"/>
    <w:rsid w:val="002C77A9"/>
    <w:rsid w:val="002E6B33"/>
    <w:rsid w:val="002F6B69"/>
    <w:rsid w:val="00307F28"/>
    <w:rsid w:val="003119EC"/>
    <w:rsid w:val="0031623A"/>
    <w:rsid w:val="00325C75"/>
    <w:rsid w:val="00361AF6"/>
    <w:rsid w:val="003861F1"/>
    <w:rsid w:val="00394FA6"/>
    <w:rsid w:val="003C653A"/>
    <w:rsid w:val="003E08CC"/>
    <w:rsid w:val="00430434"/>
    <w:rsid w:val="004620FA"/>
    <w:rsid w:val="004B204D"/>
    <w:rsid w:val="00501BCD"/>
    <w:rsid w:val="00503245"/>
    <w:rsid w:val="00507FE2"/>
    <w:rsid w:val="0053079A"/>
    <w:rsid w:val="0053582A"/>
    <w:rsid w:val="00583C8C"/>
    <w:rsid w:val="00584CE0"/>
    <w:rsid w:val="005B17DA"/>
    <w:rsid w:val="005C74B5"/>
    <w:rsid w:val="005D334B"/>
    <w:rsid w:val="005E6604"/>
    <w:rsid w:val="00611ADF"/>
    <w:rsid w:val="0062572B"/>
    <w:rsid w:val="00635A9E"/>
    <w:rsid w:val="00640F49"/>
    <w:rsid w:val="0064360E"/>
    <w:rsid w:val="00653E44"/>
    <w:rsid w:val="006A0519"/>
    <w:rsid w:val="006A4E79"/>
    <w:rsid w:val="006F74A7"/>
    <w:rsid w:val="00706BC9"/>
    <w:rsid w:val="00732D39"/>
    <w:rsid w:val="007440A0"/>
    <w:rsid w:val="00750243"/>
    <w:rsid w:val="007977DC"/>
    <w:rsid w:val="007B661B"/>
    <w:rsid w:val="007D6EB5"/>
    <w:rsid w:val="007F546C"/>
    <w:rsid w:val="007F64D8"/>
    <w:rsid w:val="0080116F"/>
    <w:rsid w:val="008022FA"/>
    <w:rsid w:val="00824604"/>
    <w:rsid w:val="00840B2B"/>
    <w:rsid w:val="0084171D"/>
    <w:rsid w:val="00842B54"/>
    <w:rsid w:val="00844EC2"/>
    <w:rsid w:val="00854792"/>
    <w:rsid w:val="00857FA4"/>
    <w:rsid w:val="008661C0"/>
    <w:rsid w:val="008713D8"/>
    <w:rsid w:val="0087655E"/>
    <w:rsid w:val="008D079E"/>
    <w:rsid w:val="008D127C"/>
    <w:rsid w:val="008D4FD5"/>
    <w:rsid w:val="008F449B"/>
    <w:rsid w:val="00920D67"/>
    <w:rsid w:val="00963024"/>
    <w:rsid w:val="00976ADD"/>
    <w:rsid w:val="00986B40"/>
    <w:rsid w:val="00987263"/>
    <w:rsid w:val="00993D9F"/>
    <w:rsid w:val="00997515"/>
    <w:rsid w:val="009A73B4"/>
    <w:rsid w:val="009B5A74"/>
    <w:rsid w:val="00A16751"/>
    <w:rsid w:val="00A51E52"/>
    <w:rsid w:val="00A953F6"/>
    <w:rsid w:val="00AB2DE4"/>
    <w:rsid w:val="00AB678D"/>
    <w:rsid w:val="00AD5E26"/>
    <w:rsid w:val="00AF5988"/>
    <w:rsid w:val="00B1430C"/>
    <w:rsid w:val="00B15AEB"/>
    <w:rsid w:val="00B367A2"/>
    <w:rsid w:val="00B4345C"/>
    <w:rsid w:val="00B613C2"/>
    <w:rsid w:val="00B72F8F"/>
    <w:rsid w:val="00B7770B"/>
    <w:rsid w:val="00B82AD9"/>
    <w:rsid w:val="00B92D14"/>
    <w:rsid w:val="00BB0C3F"/>
    <w:rsid w:val="00BD2786"/>
    <w:rsid w:val="00BE5D8D"/>
    <w:rsid w:val="00BE6E8E"/>
    <w:rsid w:val="00BF3013"/>
    <w:rsid w:val="00C22BE3"/>
    <w:rsid w:val="00C44C2F"/>
    <w:rsid w:val="00C44CCA"/>
    <w:rsid w:val="00C55AA0"/>
    <w:rsid w:val="00C71F81"/>
    <w:rsid w:val="00C92EF3"/>
    <w:rsid w:val="00C93F64"/>
    <w:rsid w:val="00D55742"/>
    <w:rsid w:val="00D74148"/>
    <w:rsid w:val="00DA2023"/>
    <w:rsid w:val="00DB7BA3"/>
    <w:rsid w:val="00DE4F2F"/>
    <w:rsid w:val="00E12ED9"/>
    <w:rsid w:val="00E279BF"/>
    <w:rsid w:val="00E67700"/>
    <w:rsid w:val="00E76956"/>
    <w:rsid w:val="00EA014D"/>
    <w:rsid w:val="00EB141A"/>
    <w:rsid w:val="00EB1501"/>
    <w:rsid w:val="00ED5CBB"/>
    <w:rsid w:val="00F05ED1"/>
    <w:rsid w:val="00F626B4"/>
    <w:rsid w:val="00F779CE"/>
    <w:rsid w:val="00F87F3F"/>
    <w:rsid w:val="00FA4CDD"/>
    <w:rsid w:val="00FC16AB"/>
    <w:rsid w:val="00FE424B"/>
    <w:rsid w:val="00FF4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7E97E2"/>
  <w15:chartTrackingRefBased/>
  <w15:docId w15:val="{3A602185-038F-BB4E-A1C8-D37A5AF4F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4E79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4E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5181</dc:creator>
  <cp:keywords/>
  <dc:description/>
  <cp:lastModifiedBy>5181</cp:lastModifiedBy>
  <cp:revision>2</cp:revision>
  <dcterms:created xsi:type="dcterms:W3CDTF">2021-12-18T06:11:00Z</dcterms:created>
  <dcterms:modified xsi:type="dcterms:W3CDTF">2021-12-18T06:11:00Z</dcterms:modified>
</cp:coreProperties>
</file>