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4F07" w:rsidRPr="00A509A3" w:rsidRDefault="00D04F07" w:rsidP="00D04F07">
      <w:pPr>
        <w:spacing w:line="480" w:lineRule="auto"/>
        <w:jc w:val="both"/>
        <w:rPr>
          <w:rFonts w:ascii="Times New Roman" w:hAnsi="Times New Roman" w:cs="Times New Roman"/>
          <w:lang w:val="en-US"/>
        </w:rPr>
      </w:pPr>
      <w:r w:rsidRPr="00A509A3">
        <w:rPr>
          <w:rFonts w:ascii="Times New Roman" w:hAnsi="Times New Roman" w:cs="Times New Roman"/>
          <w:b/>
          <w:lang w:val="en-US"/>
        </w:rPr>
        <w:t>Supplementary Table 1.</w:t>
      </w:r>
      <w:r w:rsidRPr="00A509A3">
        <w:rPr>
          <w:rFonts w:ascii="Times New Roman" w:hAnsi="Times New Roman" w:cs="Times New Roman"/>
          <w:lang w:val="en-US"/>
        </w:rPr>
        <w:t xml:space="preserve"> Respiratory and cardiac frequencies (in Hz) during the blood and CSF acquisitions with free (F), paced normal (PN), and paced deep (PD) breathing. The frequencies were obtained from the physiologic signals (thoracic band and pulse oximeter) and compared among the different modes of breathing. Mean values±standard deviation are shown. Post-hoc Bonferroni-corrected p-values are reported.</w:t>
      </w:r>
    </w:p>
    <w:tbl>
      <w:tblPr>
        <w:tblW w:w="9417" w:type="dxa"/>
        <w:tblLook w:val="04A0" w:firstRow="1" w:lastRow="0" w:firstColumn="1" w:lastColumn="0" w:noHBand="0" w:noVBand="1"/>
      </w:tblPr>
      <w:tblGrid>
        <w:gridCol w:w="1150"/>
        <w:gridCol w:w="1685"/>
        <w:gridCol w:w="1026"/>
        <w:gridCol w:w="1060"/>
        <w:gridCol w:w="1060"/>
        <w:gridCol w:w="256"/>
        <w:gridCol w:w="1060"/>
        <w:gridCol w:w="1060"/>
        <w:gridCol w:w="1060"/>
      </w:tblGrid>
      <w:tr w:rsidR="00D04F07" w:rsidRPr="00F07CE8" w:rsidTr="005500ED">
        <w:trPr>
          <w:trHeight w:val="402"/>
        </w:trPr>
        <w:tc>
          <w:tcPr>
            <w:tcW w:w="1150" w:type="dxa"/>
            <w:tcBorders>
              <w:top w:val="nil"/>
              <w:left w:val="nil"/>
              <w:right w:val="nil"/>
            </w:tcBorders>
            <w:shd w:val="clear" w:color="auto" w:fill="auto"/>
            <w:noWrap/>
            <w:vAlign w:val="bottom"/>
          </w:tcPr>
          <w:p w:rsidR="00D04F07" w:rsidRPr="00A509A3" w:rsidRDefault="00D04F07" w:rsidP="005500ED">
            <w:pPr>
              <w:spacing w:after="0" w:line="240" w:lineRule="auto"/>
              <w:jc w:val="both"/>
              <w:rPr>
                <w:rFonts w:ascii="Times New Roman" w:eastAsia="Times New Roman" w:hAnsi="Times New Roman" w:cs="Times New Roman"/>
                <w:b/>
                <w:sz w:val="20"/>
                <w:szCs w:val="20"/>
                <w:lang w:val="en-US"/>
              </w:rPr>
            </w:pPr>
          </w:p>
        </w:tc>
        <w:tc>
          <w:tcPr>
            <w:tcW w:w="1685" w:type="dxa"/>
            <w:tcBorders>
              <w:top w:val="nil"/>
              <w:left w:val="nil"/>
              <w:right w:val="nil"/>
            </w:tcBorders>
            <w:shd w:val="clear" w:color="auto" w:fill="auto"/>
            <w:noWrap/>
            <w:vAlign w:val="bottom"/>
          </w:tcPr>
          <w:p w:rsidR="00D04F07" w:rsidRPr="00A509A3" w:rsidRDefault="00D04F07" w:rsidP="005500ED">
            <w:pPr>
              <w:spacing w:after="0" w:line="240" w:lineRule="auto"/>
              <w:jc w:val="both"/>
              <w:rPr>
                <w:rFonts w:ascii="Times New Roman" w:eastAsia="Times New Roman" w:hAnsi="Times New Roman" w:cs="Times New Roman"/>
                <w:b/>
                <w:sz w:val="20"/>
                <w:szCs w:val="20"/>
                <w:lang w:val="en-US"/>
              </w:rPr>
            </w:pPr>
          </w:p>
        </w:tc>
        <w:tc>
          <w:tcPr>
            <w:tcW w:w="3146" w:type="dxa"/>
            <w:gridSpan w:val="3"/>
            <w:tcBorders>
              <w:top w:val="nil"/>
              <w:left w:val="nil"/>
              <w:bottom w:val="single" w:sz="4" w:space="0" w:color="auto"/>
              <w:right w:val="nil"/>
            </w:tcBorders>
            <w:shd w:val="clear" w:color="auto" w:fill="auto"/>
            <w:noWrap/>
            <w:vAlign w:val="center"/>
          </w:tcPr>
          <w:p w:rsidR="00D04F07" w:rsidRPr="00F07CE8" w:rsidRDefault="00D04F07" w:rsidP="005500ED">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Types of respiration</w:t>
            </w:r>
          </w:p>
        </w:tc>
        <w:tc>
          <w:tcPr>
            <w:tcW w:w="256" w:type="dxa"/>
            <w:tcBorders>
              <w:top w:val="nil"/>
              <w:left w:val="nil"/>
              <w:right w:val="nil"/>
            </w:tcBorders>
          </w:tcPr>
          <w:p w:rsidR="00D04F07" w:rsidRDefault="00D04F07" w:rsidP="005500ED">
            <w:pPr>
              <w:spacing w:after="0" w:line="240" w:lineRule="auto"/>
              <w:jc w:val="both"/>
              <w:rPr>
                <w:rFonts w:ascii="Times New Roman" w:eastAsia="Times New Roman" w:hAnsi="Times New Roman" w:cs="Times New Roman"/>
                <w:b/>
                <w:sz w:val="20"/>
                <w:szCs w:val="20"/>
              </w:rPr>
            </w:pPr>
          </w:p>
        </w:tc>
        <w:tc>
          <w:tcPr>
            <w:tcW w:w="3180" w:type="dxa"/>
            <w:gridSpan w:val="3"/>
            <w:tcBorders>
              <w:top w:val="nil"/>
              <w:left w:val="nil"/>
              <w:bottom w:val="single" w:sz="4" w:space="0" w:color="auto"/>
              <w:right w:val="nil"/>
            </w:tcBorders>
            <w:shd w:val="clear" w:color="auto" w:fill="auto"/>
            <w:noWrap/>
            <w:vAlign w:val="center"/>
          </w:tcPr>
          <w:p w:rsidR="00D04F07" w:rsidRPr="00F07CE8" w:rsidRDefault="00D04F07" w:rsidP="005500ED">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p-values</w:t>
            </w:r>
          </w:p>
        </w:tc>
      </w:tr>
      <w:tr w:rsidR="00D04F07" w:rsidRPr="00F07CE8" w:rsidTr="005500ED">
        <w:trPr>
          <w:trHeight w:val="402"/>
        </w:trPr>
        <w:tc>
          <w:tcPr>
            <w:tcW w:w="1150" w:type="dxa"/>
            <w:tcBorders>
              <w:left w:val="nil"/>
              <w:bottom w:val="single" w:sz="4" w:space="0" w:color="auto"/>
              <w:right w:val="nil"/>
            </w:tcBorders>
            <w:shd w:val="clear" w:color="auto" w:fill="auto"/>
            <w:noWrap/>
            <w:vAlign w:val="bottom"/>
            <w:hideMark/>
          </w:tcPr>
          <w:p w:rsidR="00D04F07" w:rsidRPr="00F07CE8" w:rsidRDefault="00D04F07" w:rsidP="005500ED">
            <w:pPr>
              <w:spacing w:after="0" w:line="240" w:lineRule="auto"/>
              <w:jc w:val="both"/>
              <w:rPr>
                <w:rFonts w:ascii="Times New Roman" w:eastAsia="Times New Roman" w:hAnsi="Times New Roman" w:cs="Times New Roman"/>
                <w:b/>
                <w:sz w:val="20"/>
                <w:szCs w:val="20"/>
              </w:rPr>
            </w:pPr>
            <w:r w:rsidRPr="00071D2E">
              <w:rPr>
                <w:rFonts w:ascii="Times New Roman" w:eastAsia="Times New Roman" w:hAnsi="Times New Roman" w:cs="Times New Roman"/>
                <w:b/>
                <w:sz w:val="20"/>
                <w:szCs w:val="20"/>
              </w:rPr>
              <w:t>Frequency</w:t>
            </w:r>
          </w:p>
        </w:tc>
        <w:tc>
          <w:tcPr>
            <w:tcW w:w="1685" w:type="dxa"/>
            <w:tcBorders>
              <w:left w:val="nil"/>
              <w:bottom w:val="single" w:sz="4" w:space="0" w:color="auto"/>
              <w:right w:val="nil"/>
            </w:tcBorders>
            <w:shd w:val="clear" w:color="auto" w:fill="auto"/>
            <w:noWrap/>
            <w:vAlign w:val="bottom"/>
            <w:hideMark/>
          </w:tcPr>
          <w:p w:rsidR="00D04F07" w:rsidRPr="00F07CE8" w:rsidRDefault="00D04F07" w:rsidP="005500ED">
            <w:pPr>
              <w:spacing w:after="0" w:line="240" w:lineRule="auto"/>
              <w:jc w:val="both"/>
              <w:rPr>
                <w:rFonts w:ascii="Times New Roman" w:eastAsia="Times New Roman" w:hAnsi="Times New Roman" w:cs="Times New Roman"/>
                <w:b/>
                <w:sz w:val="20"/>
                <w:szCs w:val="20"/>
              </w:rPr>
            </w:pPr>
            <w:r w:rsidRPr="00071D2E">
              <w:rPr>
                <w:rFonts w:ascii="Times New Roman" w:eastAsia="Times New Roman" w:hAnsi="Times New Roman" w:cs="Times New Roman"/>
                <w:b/>
                <w:sz w:val="20"/>
                <w:szCs w:val="20"/>
              </w:rPr>
              <w:t>Acquisition</w:t>
            </w:r>
          </w:p>
        </w:tc>
        <w:tc>
          <w:tcPr>
            <w:tcW w:w="1026" w:type="dxa"/>
            <w:tcBorders>
              <w:top w:val="nil"/>
              <w:left w:val="nil"/>
              <w:bottom w:val="single" w:sz="4" w:space="0" w:color="auto"/>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b/>
                <w:sz w:val="20"/>
                <w:szCs w:val="20"/>
              </w:rPr>
            </w:pPr>
            <w:r w:rsidRPr="00F07CE8">
              <w:rPr>
                <w:rFonts w:ascii="Times New Roman" w:eastAsia="Times New Roman" w:hAnsi="Times New Roman" w:cs="Times New Roman"/>
                <w:b/>
                <w:sz w:val="20"/>
                <w:szCs w:val="20"/>
              </w:rPr>
              <w:t>F</w:t>
            </w:r>
          </w:p>
        </w:tc>
        <w:tc>
          <w:tcPr>
            <w:tcW w:w="1060" w:type="dxa"/>
            <w:tcBorders>
              <w:top w:val="nil"/>
              <w:left w:val="nil"/>
              <w:bottom w:val="single" w:sz="4" w:space="0" w:color="auto"/>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b/>
                <w:sz w:val="20"/>
                <w:szCs w:val="20"/>
              </w:rPr>
            </w:pPr>
            <w:r w:rsidRPr="00F07CE8">
              <w:rPr>
                <w:rFonts w:ascii="Times New Roman" w:eastAsia="Times New Roman" w:hAnsi="Times New Roman" w:cs="Times New Roman"/>
                <w:b/>
                <w:sz w:val="20"/>
                <w:szCs w:val="20"/>
              </w:rPr>
              <w:t>PN</w:t>
            </w:r>
          </w:p>
        </w:tc>
        <w:tc>
          <w:tcPr>
            <w:tcW w:w="1060" w:type="dxa"/>
            <w:tcBorders>
              <w:top w:val="nil"/>
              <w:left w:val="nil"/>
              <w:bottom w:val="single" w:sz="4" w:space="0" w:color="auto"/>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b/>
                <w:sz w:val="20"/>
                <w:szCs w:val="20"/>
              </w:rPr>
            </w:pPr>
            <w:r w:rsidRPr="00F07CE8">
              <w:rPr>
                <w:rFonts w:ascii="Times New Roman" w:eastAsia="Times New Roman" w:hAnsi="Times New Roman" w:cs="Times New Roman"/>
                <w:b/>
                <w:sz w:val="20"/>
                <w:szCs w:val="20"/>
              </w:rPr>
              <w:t>PD</w:t>
            </w:r>
          </w:p>
        </w:tc>
        <w:tc>
          <w:tcPr>
            <w:tcW w:w="256" w:type="dxa"/>
            <w:tcBorders>
              <w:left w:val="nil"/>
              <w:bottom w:val="single" w:sz="4" w:space="0" w:color="auto"/>
              <w:right w:val="nil"/>
            </w:tcBorders>
          </w:tcPr>
          <w:p w:rsidR="00D04F07" w:rsidRPr="00F07CE8" w:rsidRDefault="00D04F07" w:rsidP="005500ED">
            <w:pPr>
              <w:spacing w:after="0" w:line="240" w:lineRule="auto"/>
              <w:jc w:val="both"/>
              <w:rPr>
                <w:rFonts w:ascii="Times New Roman" w:eastAsia="Times New Roman" w:hAnsi="Times New Roman" w:cs="Times New Roman"/>
                <w:b/>
                <w:sz w:val="20"/>
                <w:szCs w:val="20"/>
              </w:rPr>
            </w:pPr>
          </w:p>
        </w:tc>
        <w:tc>
          <w:tcPr>
            <w:tcW w:w="1060" w:type="dxa"/>
            <w:tcBorders>
              <w:top w:val="nil"/>
              <w:left w:val="nil"/>
              <w:bottom w:val="single" w:sz="4" w:space="0" w:color="auto"/>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b/>
                <w:sz w:val="20"/>
                <w:szCs w:val="20"/>
              </w:rPr>
            </w:pPr>
            <w:r w:rsidRPr="00F07CE8">
              <w:rPr>
                <w:rFonts w:ascii="Times New Roman" w:eastAsia="Times New Roman" w:hAnsi="Times New Roman" w:cs="Times New Roman"/>
                <w:b/>
                <w:sz w:val="20"/>
                <w:szCs w:val="20"/>
              </w:rPr>
              <w:t xml:space="preserve">F </w:t>
            </w:r>
            <w:r w:rsidRPr="00F07CE8">
              <w:rPr>
                <w:rFonts w:ascii="Times New Roman" w:eastAsia="Times New Roman" w:hAnsi="Times New Roman" w:cs="Times New Roman"/>
                <w:b/>
                <w:i/>
                <w:sz w:val="20"/>
                <w:szCs w:val="20"/>
              </w:rPr>
              <w:t>vs</w:t>
            </w:r>
            <w:r w:rsidRPr="00F07CE8">
              <w:rPr>
                <w:rFonts w:ascii="Times New Roman" w:eastAsia="Times New Roman" w:hAnsi="Times New Roman" w:cs="Times New Roman"/>
                <w:b/>
                <w:sz w:val="20"/>
                <w:szCs w:val="20"/>
              </w:rPr>
              <w:t xml:space="preserve"> PN</w:t>
            </w:r>
          </w:p>
        </w:tc>
        <w:tc>
          <w:tcPr>
            <w:tcW w:w="1060" w:type="dxa"/>
            <w:tcBorders>
              <w:top w:val="nil"/>
              <w:left w:val="nil"/>
              <w:bottom w:val="single" w:sz="4" w:space="0" w:color="auto"/>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b/>
                <w:sz w:val="20"/>
                <w:szCs w:val="20"/>
              </w:rPr>
            </w:pPr>
            <w:r w:rsidRPr="00F07CE8">
              <w:rPr>
                <w:rFonts w:ascii="Times New Roman" w:eastAsia="Times New Roman" w:hAnsi="Times New Roman" w:cs="Times New Roman"/>
                <w:b/>
                <w:sz w:val="20"/>
                <w:szCs w:val="20"/>
              </w:rPr>
              <w:t xml:space="preserve">F </w:t>
            </w:r>
            <w:r w:rsidRPr="00F07CE8">
              <w:rPr>
                <w:rFonts w:ascii="Times New Roman" w:eastAsia="Times New Roman" w:hAnsi="Times New Roman" w:cs="Times New Roman"/>
                <w:b/>
                <w:i/>
                <w:sz w:val="20"/>
                <w:szCs w:val="20"/>
              </w:rPr>
              <w:t>vs</w:t>
            </w:r>
            <w:r w:rsidRPr="00F07CE8">
              <w:rPr>
                <w:rFonts w:ascii="Times New Roman" w:eastAsia="Times New Roman" w:hAnsi="Times New Roman" w:cs="Times New Roman"/>
                <w:b/>
                <w:sz w:val="20"/>
                <w:szCs w:val="20"/>
              </w:rPr>
              <w:t xml:space="preserve"> PD</w:t>
            </w:r>
          </w:p>
        </w:tc>
        <w:tc>
          <w:tcPr>
            <w:tcW w:w="1060" w:type="dxa"/>
            <w:tcBorders>
              <w:top w:val="nil"/>
              <w:left w:val="nil"/>
              <w:bottom w:val="single" w:sz="4" w:space="0" w:color="auto"/>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b/>
                <w:sz w:val="20"/>
                <w:szCs w:val="20"/>
              </w:rPr>
            </w:pPr>
            <w:r w:rsidRPr="00F07CE8">
              <w:rPr>
                <w:rFonts w:ascii="Times New Roman" w:eastAsia="Times New Roman" w:hAnsi="Times New Roman" w:cs="Times New Roman"/>
                <w:b/>
                <w:sz w:val="20"/>
                <w:szCs w:val="20"/>
              </w:rPr>
              <w:t xml:space="preserve">PN </w:t>
            </w:r>
            <w:r w:rsidRPr="00F07CE8">
              <w:rPr>
                <w:rFonts w:ascii="Times New Roman" w:eastAsia="Times New Roman" w:hAnsi="Times New Roman" w:cs="Times New Roman"/>
                <w:b/>
                <w:i/>
                <w:sz w:val="20"/>
                <w:szCs w:val="20"/>
              </w:rPr>
              <w:t>vs</w:t>
            </w:r>
            <w:r w:rsidRPr="00F07CE8">
              <w:rPr>
                <w:rFonts w:ascii="Times New Roman" w:eastAsia="Times New Roman" w:hAnsi="Times New Roman" w:cs="Times New Roman"/>
                <w:b/>
                <w:sz w:val="20"/>
                <w:szCs w:val="20"/>
              </w:rPr>
              <w:t xml:space="preserve"> PD</w:t>
            </w:r>
          </w:p>
        </w:tc>
      </w:tr>
      <w:tr w:rsidR="00D04F07" w:rsidRPr="00F07CE8" w:rsidTr="005500ED">
        <w:trPr>
          <w:trHeight w:val="300"/>
        </w:trPr>
        <w:tc>
          <w:tcPr>
            <w:tcW w:w="1150" w:type="dxa"/>
            <w:vMerge w:val="restart"/>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Respiratory</w:t>
            </w:r>
          </w:p>
        </w:tc>
        <w:tc>
          <w:tcPr>
            <w:tcW w:w="1685" w:type="dxa"/>
            <w:tcBorders>
              <w:top w:val="nil"/>
              <w:left w:val="nil"/>
              <w:bottom w:val="nil"/>
              <w:right w:val="nil"/>
            </w:tcBorders>
            <w:shd w:val="clear" w:color="auto" w:fill="auto"/>
            <w:noWrap/>
            <w:vAlign w:val="bottom"/>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w:t>
            </w:r>
            <w:r w:rsidRPr="00F07CE8">
              <w:rPr>
                <w:rFonts w:ascii="Times New Roman" w:eastAsia="Times New Roman" w:hAnsi="Times New Roman" w:cs="Times New Roman"/>
                <w:sz w:val="20"/>
                <w:szCs w:val="20"/>
              </w:rPr>
              <w:t>lood</w:t>
            </w:r>
          </w:p>
        </w:tc>
        <w:tc>
          <w:tcPr>
            <w:tcW w:w="1026"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0.27±0.03</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0.24±0.03</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0.22±0.02</w:t>
            </w:r>
          </w:p>
        </w:tc>
        <w:tc>
          <w:tcPr>
            <w:tcW w:w="256" w:type="dxa"/>
            <w:tcBorders>
              <w:top w:val="nil"/>
              <w:left w:val="nil"/>
              <w:bottom w:val="nil"/>
              <w:right w:val="nil"/>
            </w:tcBorders>
          </w:tcPr>
          <w:p w:rsidR="00D04F07" w:rsidRPr="00F07CE8" w:rsidRDefault="00D04F07" w:rsidP="005500ED">
            <w:pPr>
              <w:spacing w:after="0" w:line="240" w:lineRule="auto"/>
              <w:jc w:val="both"/>
              <w:rPr>
                <w:rFonts w:ascii="Times New Roman" w:eastAsia="Times New Roman" w:hAnsi="Times New Roman" w:cs="Times New Roman"/>
                <w:sz w:val="20"/>
                <w:szCs w:val="20"/>
              </w:rPr>
            </w:pP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&lt;0.001</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&lt;0.001</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0.002</w:t>
            </w:r>
          </w:p>
        </w:tc>
      </w:tr>
      <w:tr w:rsidR="00D04F07" w:rsidRPr="00F07CE8" w:rsidTr="005500ED">
        <w:trPr>
          <w:trHeight w:val="300"/>
        </w:trPr>
        <w:tc>
          <w:tcPr>
            <w:tcW w:w="1150" w:type="dxa"/>
            <w:vMerge/>
            <w:tcBorders>
              <w:top w:val="nil"/>
              <w:left w:val="nil"/>
              <w:bottom w:val="nil"/>
              <w:right w:val="nil"/>
            </w:tcBorders>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p>
        </w:tc>
        <w:tc>
          <w:tcPr>
            <w:tcW w:w="1685" w:type="dxa"/>
            <w:tcBorders>
              <w:top w:val="nil"/>
              <w:left w:val="nil"/>
              <w:bottom w:val="nil"/>
              <w:right w:val="nil"/>
            </w:tcBorders>
            <w:shd w:val="clear" w:color="auto" w:fill="auto"/>
            <w:noWrap/>
            <w:vAlign w:val="bottom"/>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CSF</w:t>
            </w:r>
          </w:p>
        </w:tc>
        <w:tc>
          <w:tcPr>
            <w:tcW w:w="1026"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0.27±0.04</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0.24±0.03</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0.22±0.03</w:t>
            </w:r>
          </w:p>
        </w:tc>
        <w:tc>
          <w:tcPr>
            <w:tcW w:w="256" w:type="dxa"/>
            <w:tcBorders>
              <w:top w:val="nil"/>
              <w:left w:val="nil"/>
              <w:bottom w:val="nil"/>
              <w:right w:val="nil"/>
            </w:tcBorders>
          </w:tcPr>
          <w:p w:rsidR="00D04F07" w:rsidRPr="00F07CE8" w:rsidRDefault="00D04F07" w:rsidP="005500ED">
            <w:pPr>
              <w:spacing w:after="0" w:line="240" w:lineRule="auto"/>
              <w:jc w:val="both"/>
              <w:rPr>
                <w:rFonts w:ascii="Times New Roman" w:eastAsia="Times New Roman" w:hAnsi="Times New Roman" w:cs="Times New Roman"/>
                <w:sz w:val="20"/>
                <w:szCs w:val="20"/>
              </w:rPr>
            </w:pP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0.005</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&lt;0.001</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0.008</w:t>
            </w:r>
          </w:p>
        </w:tc>
      </w:tr>
      <w:tr w:rsidR="00D04F07" w:rsidRPr="00F07CE8" w:rsidTr="005500ED">
        <w:trPr>
          <w:trHeight w:val="300"/>
        </w:trPr>
        <w:tc>
          <w:tcPr>
            <w:tcW w:w="1150" w:type="dxa"/>
            <w:vMerge w:val="restart"/>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Cardiac</w:t>
            </w:r>
          </w:p>
        </w:tc>
        <w:tc>
          <w:tcPr>
            <w:tcW w:w="1685" w:type="dxa"/>
            <w:tcBorders>
              <w:top w:val="nil"/>
              <w:left w:val="nil"/>
              <w:bottom w:val="nil"/>
              <w:right w:val="nil"/>
            </w:tcBorders>
            <w:shd w:val="clear" w:color="auto" w:fill="auto"/>
            <w:noWrap/>
            <w:vAlign w:val="bottom"/>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w:t>
            </w:r>
            <w:r w:rsidRPr="00F07CE8">
              <w:rPr>
                <w:rFonts w:ascii="Times New Roman" w:eastAsia="Times New Roman" w:hAnsi="Times New Roman" w:cs="Times New Roman"/>
                <w:sz w:val="20"/>
                <w:szCs w:val="20"/>
              </w:rPr>
              <w:t>lood</w:t>
            </w:r>
          </w:p>
        </w:tc>
        <w:tc>
          <w:tcPr>
            <w:tcW w:w="1026"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1.22±0.22</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1.28±0.22</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1.32±0.25</w:t>
            </w:r>
          </w:p>
        </w:tc>
        <w:tc>
          <w:tcPr>
            <w:tcW w:w="256" w:type="dxa"/>
            <w:tcBorders>
              <w:top w:val="nil"/>
              <w:left w:val="nil"/>
              <w:bottom w:val="nil"/>
              <w:right w:val="nil"/>
            </w:tcBorders>
          </w:tcPr>
          <w:p w:rsidR="00D04F07" w:rsidRPr="00F07CE8" w:rsidRDefault="00D04F07" w:rsidP="005500ED">
            <w:pPr>
              <w:spacing w:after="0" w:line="240" w:lineRule="auto"/>
              <w:jc w:val="both"/>
              <w:rPr>
                <w:rFonts w:ascii="Times New Roman" w:eastAsia="Times New Roman" w:hAnsi="Times New Roman" w:cs="Times New Roman"/>
                <w:sz w:val="20"/>
                <w:szCs w:val="20"/>
              </w:rPr>
            </w:pP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1</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1</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0.314</w:t>
            </w:r>
          </w:p>
        </w:tc>
      </w:tr>
      <w:tr w:rsidR="00D04F07" w:rsidRPr="00F07CE8" w:rsidTr="005500ED">
        <w:trPr>
          <w:trHeight w:val="300"/>
        </w:trPr>
        <w:tc>
          <w:tcPr>
            <w:tcW w:w="1150" w:type="dxa"/>
            <w:vMerge/>
            <w:tcBorders>
              <w:top w:val="nil"/>
              <w:left w:val="nil"/>
              <w:bottom w:val="nil"/>
              <w:right w:val="nil"/>
            </w:tcBorders>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p>
        </w:tc>
        <w:tc>
          <w:tcPr>
            <w:tcW w:w="1685" w:type="dxa"/>
            <w:tcBorders>
              <w:top w:val="nil"/>
              <w:left w:val="nil"/>
              <w:bottom w:val="nil"/>
              <w:right w:val="nil"/>
            </w:tcBorders>
            <w:shd w:val="clear" w:color="auto" w:fill="auto"/>
            <w:noWrap/>
            <w:vAlign w:val="bottom"/>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CSF</w:t>
            </w:r>
          </w:p>
        </w:tc>
        <w:tc>
          <w:tcPr>
            <w:tcW w:w="1026"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1.23±0.24</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1.32±0.22</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1.37±0.23</w:t>
            </w:r>
          </w:p>
        </w:tc>
        <w:tc>
          <w:tcPr>
            <w:tcW w:w="256" w:type="dxa"/>
            <w:tcBorders>
              <w:top w:val="nil"/>
              <w:left w:val="nil"/>
              <w:bottom w:val="nil"/>
              <w:right w:val="nil"/>
            </w:tcBorders>
          </w:tcPr>
          <w:p w:rsidR="00D04F07" w:rsidRPr="00F07CE8" w:rsidRDefault="00D04F07" w:rsidP="005500ED">
            <w:pPr>
              <w:spacing w:after="0" w:line="240" w:lineRule="auto"/>
              <w:jc w:val="both"/>
              <w:rPr>
                <w:rFonts w:ascii="Times New Roman" w:eastAsia="Times New Roman" w:hAnsi="Times New Roman" w:cs="Times New Roman"/>
                <w:sz w:val="20"/>
                <w:szCs w:val="20"/>
              </w:rPr>
            </w:pP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0.426</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0.068</w:t>
            </w:r>
          </w:p>
        </w:tc>
        <w:tc>
          <w:tcPr>
            <w:tcW w:w="1060" w:type="dxa"/>
            <w:tcBorders>
              <w:top w:val="nil"/>
              <w:left w:val="nil"/>
              <w:bottom w:val="nil"/>
              <w:right w:val="nil"/>
            </w:tcBorders>
            <w:shd w:val="clear" w:color="auto" w:fill="auto"/>
            <w:noWrap/>
            <w:vAlign w:val="center"/>
            <w:hideMark/>
          </w:tcPr>
          <w:p w:rsidR="00D04F07" w:rsidRPr="00F07CE8" w:rsidRDefault="00D04F07" w:rsidP="005500ED">
            <w:pPr>
              <w:spacing w:after="0" w:line="240" w:lineRule="auto"/>
              <w:jc w:val="both"/>
              <w:rPr>
                <w:rFonts w:ascii="Times New Roman" w:eastAsia="Times New Roman" w:hAnsi="Times New Roman" w:cs="Times New Roman"/>
                <w:sz w:val="20"/>
                <w:szCs w:val="20"/>
              </w:rPr>
            </w:pPr>
            <w:r w:rsidRPr="00F07CE8">
              <w:rPr>
                <w:rFonts w:ascii="Times New Roman" w:eastAsia="Times New Roman" w:hAnsi="Times New Roman" w:cs="Times New Roman"/>
                <w:sz w:val="20"/>
                <w:szCs w:val="20"/>
              </w:rPr>
              <w:t>1</w:t>
            </w:r>
          </w:p>
        </w:tc>
      </w:tr>
    </w:tbl>
    <w:p w:rsidR="00D04F07" w:rsidRDefault="00D04F07" w:rsidP="00D04F07">
      <w:pPr>
        <w:jc w:val="both"/>
        <w:rPr>
          <w:rFonts w:ascii="Times New Roman" w:hAnsi="Times New Roman" w:cs="Times New Roman"/>
        </w:rPr>
      </w:pPr>
    </w:p>
    <w:p w:rsidR="00755780" w:rsidRDefault="00755780"/>
    <w:p w:rsidR="00D04F07" w:rsidRPr="00356214" w:rsidRDefault="00D04F07" w:rsidP="00D04F07">
      <w:pPr>
        <w:spacing w:line="480" w:lineRule="auto"/>
        <w:jc w:val="both"/>
        <w:rPr>
          <w:rFonts w:ascii="Times New Roman" w:hAnsi="Times New Roman" w:cs="Times New Roman"/>
        </w:rPr>
      </w:pPr>
      <w:r w:rsidRPr="00A509A3">
        <w:rPr>
          <w:rFonts w:ascii="Times New Roman" w:hAnsi="Times New Roman" w:cs="Times New Roman"/>
          <w:b/>
          <w:lang w:val="en-US"/>
        </w:rPr>
        <w:t xml:space="preserve">Supplementary Table 2. </w:t>
      </w:r>
      <w:r w:rsidRPr="00A509A3">
        <w:rPr>
          <w:rFonts w:ascii="Times New Roman" w:hAnsi="Times New Roman" w:cs="Times New Roman"/>
          <w:lang w:val="en-US"/>
        </w:rPr>
        <w:t>Comparisons between the frequencies measured with the thoracic band (and its multiples) and the 1</w:t>
      </w:r>
      <w:r w:rsidRPr="00A509A3">
        <w:rPr>
          <w:rFonts w:ascii="Times New Roman" w:hAnsi="Times New Roman" w:cs="Times New Roman"/>
          <w:vertAlign w:val="superscript"/>
          <w:lang w:val="en-US"/>
        </w:rPr>
        <w:t>st</w:t>
      </w:r>
      <w:r w:rsidRPr="00A509A3">
        <w:rPr>
          <w:rFonts w:ascii="Times New Roman" w:hAnsi="Times New Roman" w:cs="Times New Roman"/>
          <w:lang w:val="en-US"/>
        </w:rPr>
        <w:t xml:space="preserve"> and 2</w:t>
      </w:r>
      <w:r w:rsidRPr="00A509A3">
        <w:rPr>
          <w:rFonts w:ascii="Times New Roman" w:hAnsi="Times New Roman" w:cs="Times New Roman"/>
          <w:vertAlign w:val="superscript"/>
          <w:lang w:val="en-US"/>
        </w:rPr>
        <w:t>nd</w:t>
      </w:r>
      <w:r w:rsidRPr="00A509A3">
        <w:rPr>
          <w:rFonts w:ascii="Times New Roman" w:hAnsi="Times New Roman" w:cs="Times New Roman"/>
          <w:lang w:val="en-US"/>
        </w:rPr>
        <w:t xml:space="preserve"> low-frequency peak (LFP) harmonics. </w:t>
      </w:r>
      <w:r>
        <w:rPr>
          <w:rFonts w:ascii="Times New Roman" w:hAnsi="Times New Roman" w:cs="Times New Roman"/>
        </w:rPr>
        <w:t>Mean values±standard deviation are reported.</w:t>
      </w:r>
    </w:p>
    <w:tbl>
      <w:tblPr>
        <w:tblW w:w="7121" w:type="dxa"/>
        <w:tblLook w:val="04A0" w:firstRow="1" w:lastRow="0" w:firstColumn="1" w:lastColumn="0" w:noHBand="0" w:noVBand="1"/>
      </w:tblPr>
      <w:tblGrid>
        <w:gridCol w:w="1600"/>
        <w:gridCol w:w="2511"/>
        <w:gridCol w:w="1217"/>
        <w:gridCol w:w="1107"/>
        <w:gridCol w:w="1107"/>
      </w:tblGrid>
      <w:tr w:rsidR="00D04F07" w:rsidRPr="00771835" w:rsidTr="005500ED">
        <w:trPr>
          <w:trHeight w:val="270"/>
        </w:trPr>
        <w:tc>
          <w:tcPr>
            <w:tcW w:w="1600" w:type="dxa"/>
            <w:tcBorders>
              <w:top w:val="nil"/>
              <w:left w:val="nil"/>
              <w:bottom w:val="single" w:sz="4" w:space="0" w:color="auto"/>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 </w:t>
            </w:r>
          </w:p>
        </w:tc>
        <w:tc>
          <w:tcPr>
            <w:tcW w:w="2511" w:type="dxa"/>
            <w:tcBorders>
              <w:top w:val="nil"/>
              <w:left w:val="nil"/>
              <w:bottom w:val="single" w:sz="4" w:space="0" w:color="auto"/>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Method</w:t>
            </w:r>
          </w:p>
        </w:tc>
        <w:tc>
          <w:tcPr>
            <w:tcW w:w="796" w:type="dxa"/>
            <w:tcBorders>
              <w:top w:val="nil"/>
              <w:left w:val="nil"/>
              <w:bottom w:val="single" w:sz="4" w:space="0" w:color="auto"/>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F</w:t>
            </w:r>
          </w:p>
        </w:tc>
        <w:tc>
          <w:tcPr>
            <w:tcW w:w="1107" w:type="dxa"/>
            <w:tcBorders>
              <w:top w:val="nil"/>
              <w:left w:val="nil"/>
              <w:bottom w:val="single" w:sz="4" w:space="0" w:color="auto"/>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P</w:t>
            </w:r>
            <w:r>
              <w:rPr>
                <w:rFonts w:ascii="Times New Roman" w:eastAsia="Times New Roman" w:hAnsi="Times New Roman" w:cs="Times New Roman"/>
              </w:rPr>
              <w:t>N</w:t>
            </w:r>
          </w:p>
        </w:tc>
        <w:tc>
          <w:tcPr>
            <w:tcW w:w="1107" w:type="dxa"/>
            <w:tcBorders>
              <w:top w:val="nil"/>
              <w:left w:val="nil"/>
              <w:bottom w:val="single" w:sz="4" w:space="0" w:color="auto"/>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w:t>
            </w:r>
            <w:r w:rsidRPr="00771835">
              <w:rPr>
                <w:rFonts w:ascii="Times New Roman" w:eastAsia="Times New Roman" w:hAnsi="Times New Roman" w:cs="Times New Roman"/>
              </w:rPr>
              <w:t>D</w:t>
            </w:r>
          </w:p>
        </w:tc>
      </w:tr>
      <w:tr w:rsidR="00D04F07" w:rsidRPr="00771835" w:rsidTr="005500ED">
        <w:trPr>
          <w:trHeight w:val="90"/>
        </w:trPr>
        <w:tc>
          <w:tcPr>
            <w:tcW w:w="1600"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2511"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796"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1107"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1107"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p>
        </w:tc>
      </w:tr>
      <w:tr w:rsidR="00D04F07" w:rsidRPr="00771835" w:rsidTr="005500ED">
        <w:trPr>
          <w:trHeight w:val="255"/>
        </w:trPr>
        <w:tc>
          <w:tcPr>
            <w:tcW w:w="1600" w:type="dxa"/>
            <w:vMerge w:val="restart"/>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Blood acquisition</w:t>
            </w:r>
          </w:p>
        </w:tc>
        <w:tc>
          <w:tcPr>
            <w:tcW w:w="2511"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Thoracic band</w:t>
            </w:r>
          </w:p>
        </w:tc>
        <w:tc>
          <w:tcPr>
            <w:tcW w:w="796"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0.27±0.03</w:t>
            </w:r>
            <w:r>
              <w:rPr>
                <w:rFonts w:ascii="Times New Roman" w:eastAsia="Times New Roman" w:hAnsi="Times New Roman" w:cs="Times New Roman"/>
              </w:rPr>
              <w:t>*</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0.27±0.03</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0.27±0.03</w:t>
            </w:r>
          </w:p>
        </w:tc>
      </w:tr>
      <w:tr w:rsidR="00D04F07" w:rsidRPr="00771835" w:rsidTr="005500ED">
        <w:trPr>
          <w:trHeight w:val="255"/>
        </w:trPr>
        <w:tc>
          <w:tcPr>
            <w:tcW w:w="1600" w:type="dxa"/>
            <w:vMerge/>
            <w:tcBorders>
              <w:top w:val="nil"/>
              <w:left w:val="nil"/>
              <w:bottom w:val="nil"/>
              <w:right w:val="nil"/>
            </w:tcBorders>
            <w:vAlign w:val="center"/>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2511"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ICA 1st LFP harmonic</w:t>
            </w:r>
          </w:p>
        </w:tc>
        <w:tc>
          <w:tcPr>
            <w:tcW w:w="796"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0.26±0.05</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0.24±0.03</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0.21±0.03</w:t>
            </w:r>
          </w:p>
        </w:tc>
      </w:tr>
      <w:tr w:rsidR="00D04F07" w:rsidRPr="00771835" w:rsidTr="005500ED">
        <w:trPr>
          <w:trHeight w:val="255"/>
        </w:trPr>
        <w:tc>
          <w:tcPr>
            <w:tcW w:w="1600" w:type="dxa"/>
            <w:vMerge/>
            <w:tcBorders>
              <w:top w:val="nil"/>
              <w:left w:val="nil"/>
              <w:bottom w:val="nil"/>
              <w:right w:val="nil"/>
            </w:tcBorders>
            <w:vAlign w:val="center"/>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2511"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IJV 1st LFP harmonic</w:t>
            </w:r>
          </w:p>
        </w:tc>
        <w:tc>
          <w:tcPr>
            <w:tcW w:w="796"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0.27±0.05</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0.24±0.04</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0.22±0.04</w:t>
            </w:r>
          </w:p>
        </w:tc>
      </w:tr>
      <w:tr w:rsidR="00D04F07" w:rsidRPr="00771835" w:rsidTr="005500ED">
        <w:trPr>
          <w:trHeight w:val="255"/>
        </w:trPr>
        <w:tc>
          <w:tcPr>
            <w:tcW w:w="1600" w:type="dxa"/>
            <w:vMerge/>
            <w:tcBorders>
              <w:top w:val="nil"/>
              <w:left w:val="nil"/>
              <w:bottom w:val="nil"/>
              <w:right w:val="nil"/>
            </w:tcBorders>
            <w:vAlign w:val="center"/>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2511"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ICA 2nd LFP harmonic</w:t>
            </w:r>
          </w:p>
        </w:tc>
        <w:tc>
          <w:tcPr>
            <w:tcW w:w="796"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0.5±0.09</w:t>
            </w:r>
            <w:r>
              <w:rPr>
                <w:rFonts w:ascii="Times New Roman" w:eastAsia="Times New Roman" w:hAnsi="Times New Roman" w:cs="Times New Roman"/>
              </w:rPr>
              <w:t>*</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0.48±0.07</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0.42±0.07</w:t>
            </w:r>
          </w:p>
        </w:tc>
      </w:tr>
      <w:tr w:rsidR="00D04F07" w:rsidRPr="00771835" w:rsidTr="005500ED">
        <w:trPr>
          <w:trHeight w:val="255"/>
        </w:trPr>
        <w:tc>
          <w:tcPr>
            <w:tcW w:w="1600" w:type="dxa"/>
            <w:vMerge/>
            <w:tcBorders>
              <w:top w:val="nil"/>
              <w:left w:val="nil"/>
              <w:bottom w:val="nil"/>
              <w:right w:val="nil"/>
            </w:tcBorders>
            <w:vAlign w:val="center"/>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2511"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IJV 2nd LFP harmonic</w:t>
            </w:r>
          </w:p>
        </w:tc>
        <w:tc>
          <w:tcPr>
            <w:tcW w:w="796"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0.53±0.1</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0.49±0.06</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0.44±0.06</w:t>
            </w:r>
          </w:p>
        </w:tc>
      </w:tr>
      <w:tr w:rsidR="00D04F07" w:rsidRPr="00771835" w:rsidTr="005500ED">
        <w:trPr>
          <w:trHeight w:val="90"/>
        </w:trPr>
        <w:tc>
          <w:tcPr>
            <w:tcW w:w="1600"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2511"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796"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p>
        </w:tc>
      </w:tr>
      <w:tr w:rsidR="00D04F07" w:rsidRPr="00771835" w:rsidTr="005500ED">
        <w:trPr>
          <w:trHeight w:val="255"/>
        </w:trPr>
        <w:tc>
          <w:tcPr>
            <w:tcW w:w="1600" w:type="dxa"/>
            <w:vMerge w:val="restart"/>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CSF acquisition</w:t>
            </w:r>
          </w:p>
        </w:tc>
        <w:tc>
          <w:tcPr>
            <w:tcW w:w="2511"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Thoracic band</w:t>
            </w:r>
          </w:p>
        </w:tc>
        <w:tc>
          <w:tcPr>
            <w:tcW w:w="796"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0.27±0.04</w:t>
            </w:r>
            <w:r>
              <w:rPr>
                <w:rFonts w:ascii="Times New Roman" w:eastAsia="Times New Roman" w:hAnsi="Times New Roman" w:cs="Times New Roman"/>
              </w:rPr>
              <w:t>#</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0.24±0.03</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0.22±0.03</w:t>
            </w:r>
          </w:p>
        </w:tc>
      </w:tr>
      <w:tr w:rsidR="00D04F07" w:rsidRPr="00771835" w:rsidTr="005500ED">
        <w:trPr>
          <w:trHeight w:val="255"/>
        </w:trPr>
        <w:tc>
          <w:tcPr>
            <w:tcW w:w="1600" w:type="dxa"/>
            <w:vMerge/>
            <w:tcBorders>
              <w:top w:val="nil"/>
              <w:left w:val="nil"/>
              <w:bottom w:val="nil"/>
              <w:right w:val="nil"/>
            </w:tcBorders>
            <w:vAlign w:val="center"/>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2511"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CSF 1st LFP harmonic</w:t>
            </w:r>
          </w:p>
        </w:tc>
        <w:tc>
          <w:tcPr>
            <w:tcW w:w="796"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0.26±0.05</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0.24±0.03</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0.21±0.03</w:t>
            </w:r>
          </w:p>
        </w:tc>
      </w:tr>
      <w:tr w:rsidR="00D04F07" w:rsidRPr="00771835" w:rsidTr="005500ED">
        <w:trPr>
          <w:trHeight w:val="255"/>
        </w:trPr>
        <w:tc>
          <w:tcPr>
            <w:tcW w:w="1600" w:type="dxa"/>
            <w:vMerge/>
            <w:tcBorders>
              <w:top w:val="nil"/>
              <w:left w:val="nil"/>
              <w:bottom w:val="nil"/>
              <w:right w:val="nil"/>
            </w:tcBorders>
            <w:vAlign w:val="center"/>
            <w:hideMark/>
          </w:tcPr>
          <w:p w:rsidR="00D04F07" w:rsidRPr="00771835" w:rsidRDefault="00D04F07" w:rsidP="005500ED">
            <w:pPr>
              <w:spacing w:after="0" w:line="240" w:lineRule="auto"/>
              <w:jc w:val="both"/>
              <w:rPr>
                <w:rFonts w:ascii="Times New Roman" w:eastAsia="Times New Roman" w:hAnsi="Times New Roman" w:cs="Times New Roman"/>
              </w:rPr>
            </w:pPr>
          </w:p>
        </w:tc>
        <w:tc>
          <w:tcPr>
            <w:tcW w:w="2511" w:type="dxa"/>
            <w:tcBorders>
              <w:top w:val="nil"/>
              <w:left w:val="nil"/>
              <w:bottom w:val="nil"/>
              <w:right w:val="nil"/>
            </w:tcBorders>
            <w:shd w:val="clear" w:color="auto" w:fill="auto"/>
            <w:noWrap/>
            <w:vAlign w:val="bottom"/>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CSF 2nd LFP harmonic</w:t>
            </w:r>
          </w:p>
        </w:tc>
        <w:tc>
          <w:tcPr>
            <w:tcW w:w="796"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0.5±0.09</w:t>
            </w:r>
            <w:r>
              <w:rPr>
                <w:rFonts w:ascii="Times New Roman" w:eastAsia="Times New Roman" w:hAnsi="Times New Roman" w:cs="Times New Roman"/>
              </w:rPr>
              <w:t>#</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0.48±0.07</w:t>
            </w:r>
          </w:p>
        </w:tc>
        <w:tc>
          <w:tcPr>
            <w:tcW w:w="1107" w:type="dxa"/>
            <w:tcBorders>
              <w:top w:val="nil"/>
              <w:left w:val="nil"/>
              <w:bottom w:val="nil"/>
              <w:right w:val="nil"/>
            </w:tcBorders>
            <w:shd w:val="clear" w:color="auto" w:fill="auto"/>
            <w:noWrap/>
            <w:vAlign w:val="center"/>
            <w:hideMark/>
          </w:tcPr>
          <w:p w:rsidR="00D04F07" w:rsidRPr="00771835" w:rsidRDefault="00D04F07" w:rsidP="005500ED">
            <w:pPr>
              <w:spacing w:after="0" w:line="240" w:lineRule="auto"/>
              <w:jc w:val="both"/>
              <w:rPr>
                <w:rFonts w:ascii="Times New Roman" w:eastAsia="Times New Roman" w:hAnsi="Times New Roman" w:cs="Times New Roman"/>
              </w:rPr>
            </w:pPr>
            <w:r w:rsidRPr="00771835">
              <w:rPr>
                <w:rFonts w:ascii="Times New Roman" w:eastAsia="Times New Roman" w:hAnsi="Times New Roman" w:cs="Times New Roman"/>
              </w:rPr>
              <w:t>0.42±0.07</w:t>
            </w:r>
          </w:p>
        </w:tc>
      </w:tr>
    </w:tbl>
    <w:p w:rsidR="00D04F07" w:rsidRDefault="00D04F07" w:rsidP="00D04F07">
      <w:pPr>
        <w:spacing w:line="480" w:lineRule="auto"/>
        <w:jc w:val="both"/>
        <w:rPr>
          <w:rFonts w:ascii="Times New Roman" w:hAnsi="Times New Roman" w:cs="Times New Roman"/>
          <w:lang w:val="en-US"/>
        </w:rPr>
      </w:pPr>
      <w:r w:rsidRPr="00A509A3">
        <w:rPr>
          <w:rFonts w:ascii="Times New Roman" w:hAnsi="Times New Roman" w:cs="Times New Roman"/>
          <w:lang w:val="en-US"/>
        </w:rPr>
        <w:t>Legend. Internal Carotid Artery (ICA), Internal Jugular vein (IJV), cerebrospinal fluid (CSF) free (F), paced normal (PN), paced and deep (PD) respirations, low-frequency peak (LFP). Statistics: *p&lt;0.001; #p&lt;0.001; for all the other comparisons: p&gt;0.05. All the frequencies are reported in Hz.</w:t>
      </w:r>
    </w:p>
    <w:p w:rsidR="00D04F07" w:rsidRPr="00A509A3" w:rsidRDefault="00D04F07" w:rsidP="00D04F07">
      <w:pPr>
        <w:spacing w:line="480" w:lineRule="auto"/>
        <w:jc w:val="both"/>
        <w:rPr>
          <w:rFonts w:ascii="Times New Roman" w:hAnsi="Times New Roman" w:cs="Times New Roman"/>
          <w:lang w:val="en-US"/>
        </w:rPr>
      </w:pPr>
      <w:r w:rsidRPr="00A509A3">
        <w:rPr>
          <w:rFonts w:ascii="Times New Roman" w:hAnsi="Times New Roman" w:cs="Times New Roman"/>
          <w:b/>
          <w:lang w:val="en-US"/>
        </w:rPr>
        <w:t xml:space="preserve">Supplementary Table 3. </w:t>
      </w:r>
      <w:r w:rsidRPr="00A509A3">
        <w:rPr>
          <w:rFonts w:ascii="Times New Roman" w:hAnsi="Times New Roman" w:cs="Times New Roman"/>
          <w:lang w:val="en-US"/>
        </w:rPr>
        <w:t>Comparisons between frequencies (in Hz) measured with the pulse oximeter (and its multiples) and the 1</w:t>
      </w:r>
      <w:r w:rsidRPr="00A509A3">
        <w:rPr>
          <w:rFonts w:ascii="Times New Roman" w:hAnsi="Times New Roman" w:cs="Times New Roman"/>
          <w:vertAlign w:val="superscript"/>
          <w:lang w:val="en-US"/>
        </w:rPr>
        <w:t>st</w:t>
      </w:r>
      <w:r w:rsidRPr="00A509A3">
        <w:rPr>
          <w:rFonts w:ascii="Times New Roman" w:hAnsi="Times New Roman" w:cs="Times New Roman"/>
          <w:lang w:val="en-US"/>
        </w:rPr>
        <w:t>, 2</w:t>
      </w:r>
      <w:r w:rsidRPr="00A509A3">
        <w:rPr>
          <w:rFonts w:ascii="Times New Roman" w:hAnsi="Times New Roman" w:cs="Times New Roman"/>
          <w:vertAlign w:val="superscript"/>
          <w:lang w:val="en-US"/>
        </w:rPr>
        <w:t>nd</w:t>
      </w:r>
      <w:r w:rsidRPr="00A509A3">
        <w:rPr>
          <w:rFonts w:ascii="Times New Roman" w:hAnsi="Times New Roman" w:cs="Times New Roman"/>
          <w:lang w:val="en-US"/>
        </w:rPr>
        <w:t xml:space="preserve"> and 3</w:t>
      </w:r>
      <w:r w:rsidRPr="00A509A3">
        <w:rPr>
          <w:rFonts w:ascii="Times New Roman" w:hAnsi="Times New Roman" w:cs="Times New Roman"/>
          <w:vertAlign w:val="superscript"/>
          <w:lang w:val="en-US"/>
        </w:rPr>
        <w:t>rd</w:t>
      </w:r>
      <w:r w:rsidRPr="00A509A3">
        <w:rPr>
          <w:rFonts w:ascii="Times New Roman" w:hAnsi="Times New Roman" w:cs="Times New Roman"/>
          <w:lang w:val="en-US"/>
        </w:rPr>
        <w:t xml:space="preserve"> high-frequency peak (HFP) harmonics of the power spectral density of the Internal Carotid Artery (ICA), Internal Jugular vein (IJV), cerebrospinal fluid (CSF). Meanvalues ± </w:t>
      </w:r>
      <w:r w:rsidRPr="00A509A3">
        <w:rPr>
          <w:rFonts w:ascii="Times New Roman" w:hAnsi="Times New Roman" w:cs="Times New Roman"/>
          <w:lang w:val="en-US"/>
        </w:rPr>
        <w:lastRenderedPageBreak/>
        <w:t>standard deviation are separately reported for the free (F), paced normal (PN), paced and deep (PD) respirations. All the comparisons are not significant, with the exception of *p=0.009.</w:t>
      </w:r>
    </w:p>
    <w:tbl>
      <w:tblPr>
        <w:tblW w:w="7580" w:type="dxa"/>
        <w:tblLook w:val="04A0" w:firstRow="1" w:lastRow="0" w:firstColumn="1" w:lastColumn="0" w:noHBand="0" w:noVBand="1"/>
      </w:tblPr>
      <w:tblGrid>
        <w:gridCol w:w="1600"/>
        <w:gridCol w:w="2443"/>
        <w:gridCol w:w="1160"/>
        <w:gridCol w:w="1217"/>
        <w:gridCol w:w="1160"/>
      </w:tblGrid>
      <w:tr w:rsidR="00D04F07" w:rsidRPr="00AD35F5" w:rsidTr="00D04F07">
        <w:trPr>
          <w:trHeight w:val="255"/>
        </w:trPr>
        <w:tc>
          <w:tcPr>
            <w:tcW w:w="1600" w:type="dxa"/>
            <w:tcBorders>
              <w:top w:val="nil"/>
              <w:left w:val="nil"/>
              <w:bottom w:val="single" w:sz="4" w:space="0" w:color="auto"/>
              <w:right w:val="nil"/>
            </w:tcBorders>
            <w:shd w:val="clear" w:color="auto" w:fill="auto"/>
            <w:noWrap/>
            <w:vAlign w:val="bottom"/>
            <w:hideMark/>
          </w:tcPr>
          <w:p w:rsidR="00D04F07" w:rsidRPr="00A509A3" w:rsidRDefault="00D04F07" w:rsidP="005500ED">
            <w:pPr>
              <w:jc w:val="both"/>
              <w:rPr>
                <w:rFonts w:ascii="Times New Roman" w:eastAsia="Times New Roman" w:hAnsi="Times New Roman" w:cs="Times New Roman"/>
                <w:lang w:val="en-US"/>
              </w:rPr>
            </w:pPr>
            <w:r w:rsidRPr="00A509A3">
              <w:rPr>
                <w:rFonts w:ascii="Times New Roman" w:eastAsia="Times New Roman" w:hAnsi="Times New Roman" w:cs="Times New Roman"/>
                <w:lang w:val="en-US"/>
              </w:rPr>
              <w:t> </w:t>
            </w:r>
          </w:p>
        </w:tc>
        <w:tc>
          <w:tcPr>
            <w:tcW w:w="2443" w:type="dxa"/>
            <w:tcBorders>
              <w:top w:val="nil"/>
              <w:left w:val="nil"/>
              <w:bottom w:val="single" w:sz="4" w:space="0" w:color="auto"/>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Method</w:t>
            </w:r>
          </w:p>
        </w:tc>
        <w:tc>
          <w:tcPr>
            <w:tcW w:w="1160" w:type="dxa"/>
            <w:tcBorders>
              <w:top w:val="nil"/>
              <w:left w:val="nil"/>
              <w:bottom w:val="single" w:sz="4" w:space="0" w:color="auto"/>
              <w:right w:val="nil"/>
            </w:tcBorders>
            <w:shd w:val="clear" w:color="auto" w:fill="auto"/>
            <w:noWrap/>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F</w:t>
            </w:r>
          </w:p>
        </w:tc>
        <w:tc>
          <w:tcPr>
            <w:tcW w:w="1217" w:type="dxa"/>
            <w:tcBorders>
              <w:top w:val="nil"/>
              <w:left w:val="nil"/>
              <w:bottom w:val="single" w:sz="4" w:space="0" w:color="auto"/>
              <w:right w:val="nil"/>
            </w:tcBorders>
            <w:shd w:val="clear" w:color="auto" w:fill="auto"/>
            <w:noWrap/>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P</w:t>
            </w:r>
            <w:r>
              <w:rPr>
                <w:rFonts w:ascii="Times New Roman" w:eastAsia="Times New Roman" w:hAnsi="Times New Roman" w:cs="Times New Roman"/>
              </w:rPr>
              <w:t>N</w:t>
            </w:r>
          </w:p>
        </w:tc>
        <w:tc>
          <w:tcPr>
            <w:tcW w:w="1160" w:type="dxa"/>
            <w:tcBorders>
              <w:top w:val="nil"/>
              <w:left w:val="nil"/>
              <w:bottom w:val="single" w:sz="4" w:space="0" w:color="auto"/>
              <w:right w:val="nil"/>
            </w:tcBorders>
            <w:shd w:val="clear" w:color="auto" w:fill="auto"/>
            <w:noWrap/>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w:t>
            </w:r>
            <w:r w:rsidRPr="00AD35F5">
              <w:rPr>
                <w:rFonts w:ascii="Times New Roman" w:eastAsia="Times New Roman" w:hAnsi="Times New Roman" w:cs="Times New Roman"/>
              </w:rPr>
              <w:t>D</w:t>
            </w:r>
          </w:p>
        </w:tc>
      </w:tr>
      <w:tr w:rsidR="00D04F07" w:rsidRPr="00AD35F5" w:rsidTr="00D04F07">
        <w:trPr>
          <w:trHeight w:val="105"/>
        </w:trPr>
        <w:tc>
          <w:tcPr>
            <w:tcW w:w="160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1160" w:type="dxa"/>
            <w:tcBorders>
              <w:top w:val="nil"/>
              <w:left w:val="nil"/>
              <w:bottom w:val="nil"/>
              <w:right w:val="nil"/>
            </w:tcBorders>
            <w:shd w:val="clear" w:color="auto" w:fill="auto"/>
            <w:noWrap/>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1217" w:type="dxa"/>
            <w:tcBorders>
              <w:top w:val="nil"/>
              <w:left w:val="nil"/>
              <w:bottom w:val="nil"/>
              <w:right w:val="nil"/>
            </w:tcBorders>
            <w:shd w:val="clear" w:color="auto" w:fill="auto"/>
            <w:noWrap/>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1160" w:type="dxa"/>
            <w:tcBorders>
              <w:top w:val="nil"/>
              <w:left w:val="nil"/>
              <w:bottom w:val="nil"/>
              <w:right w:val="nil"/>
            </w:tcBorders>
            <w:shd w:val="clear" w:color="auto" w:fill="auto"/>
            <w:noWrap/>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r>
      <w:tr w:rsidR="00D04F07" w:rsidRPr="00AD35F5" w:rsidTr="00D04F07">
        <w:trPr>
          <w:trHeight w:val="255"/>
        </w:trPr>
        <w:tc>
          <w:tcPr>
            <w:tcW w:w="1600" w:type="dxa"/>
            <w:vMerge w:val="restart"/>
            <w:tcBorders>
              <w:top w:val="nil"/>
              <w:left w:val="nil"/>
              <w:bottom w:val="nil"/>
              <w:right w:val="nil"/>
            </w:tcBorders>
            <w:shd w:val="clear" w:color="auto" w:fill="auto"/>
            <w:noWrap/>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Blood acquisition</w:t>
            </w: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Pulse oxymeter</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1.2</w:t>
            </w:r>
            <w:r>
              <w:rPr>
                <w:rFonts w:ascii="Times New Roman" w:eastAsia="Times New Roman" w:hAnsi="Times New Roman" w:cs="Times New Roman"/>
              </w:rPr>
              <w:t>2</w:t>
            </w:r>
            <w:r w:rsidRPr="00AD35F5">
              <w:rPr>
                <w:rFonts w:ascii="Times New Roman" w:eastAsia="Times New Roman" w:hAnsi="Times New Roman" w:cs="Times New Roman"/>
              </w:rPr>
              <w:t>±0.22</w:t>
            </w: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1.2</w:t>
            </w:r>
            <w:r>
              <w:rPr>
                <w:rFonts w:ascii="Times New Roman" w:eastAsia="Times New Roman" w:hAnsi="Times New Roman" w:cs="Times New Roman"/>
              </w:rPr>
              <w:t>8</w:t>
            </w:r>
            <w:r w:rsidRPr="00AD35F5">
              <w:rPr>
                <w:rFonts w:ascii="Times New Roman" w:eastAsia="Times New Roman" w:hAnsi="Times New Roman" w:cs="Times New Roman"/>
              </w:rPr>
              <w:t>±0.22*</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w:t>
            </w:r>
            <w:r>
              <w:rPr>
                <w:rFonts w:ascii="Times New Roman" w:eastAsia="Times New Roman" w:hAnsi="Times New Roman" w:cs="Times New Roman"/>
              </w:rPr>
              <w:t>32</w:t>
            </w:r>
            <w:r w:rsidRPr="00AD35F5">
              <w:rPr>
                <w:rFonts w:ascii="Times New Roman" w:eastAsia="Times New Roman" w:hAnsi="Times New Roman" w:cs="Times New Roman"/>
              </w:rPr>
              <w:t>±0.2</w:t>
            </w:r>
            <w:r>
              <w:rPr>
                <w:rFonts w:ascii="Times New Roman" w:eastAsia="Times New Roman" w:hAnsi="Times New Roman" w:cs="Times New Roman"/>
              </w:rPr>
              <w:t>5</w:t>
            </w:r>
          </w:p>
        </w:tc>
      </w:tr>
      <w:tr w:rsidR="00D04F07" w:rsidRPr="00AD35F5" w:rsidTr="00D04F07">
        <w:trPr>
          <w:trHeight w:val="255"/>
        </w:trPr>
        <w:tc>
          <w:tcPr>
            <w:tcW w:w="1600" w:type="dxa"/>
            <w:vMerge/>
            <w:tcBorders>
              <w:top w:val="nil"/>
              <w:left w:val="nil"/>
              <w:bottom w:val="nil"/>
              <w:right w:val="nil"/>
            </w:tcBorders>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ICA 1st HFP harmonic</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1.2±0.2</w:t>
            </w: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1.26±0.2</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1.31±0.23</w:t>
            </w:r>
          </w:p>
        </w:tc>
      </w:tr>
      <w:tr w:rsidR="00D04F07" w:rsidRPr="00AD35F5" w:rsidTr="00D04F07">
        <w:trPr>
          <w:trHeight w:val="255"/>
        </w:trPr>
        <w:tc>
          <w:tcPr>
            <w:tcW w:w="1600" w:type="dxa"/>
            <w:vMerge/>
            <w:tcBorders>
              <w:top w:val="nil"/>
              <w:left w:val="nil"/>
              <w:bottom w:val="nil"/>
              <w:right w:val="nil"/>
            </w:tcBorders>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IJV 1st HFP harmonic</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1.30±0.45</w:t>
            </w: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1.30±0.45</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1.29±0.21</w:t>
            </w:r>
          </w:p>
        </w:tc>
      </w:tr>
      <w:tr w:rsidR="00D04F07" w:rsidRPr="00AD35F5" w:rsidTr="00D04F07">
        <w:trPr>
          <w:trHeight w:val="255"/>
        </w:trPr>
        <w:tc>
          <w:tcPr>
            <w:tcW w:w="1600" w:type="dxa"/>
            <w:vMerge/>
            <w:tcBorders>
              <w:top w:val="nil"/>
              <w:left w:val="nil"/>
              <w:bottom w:val="nil"/>
              <w:right w:val="nil"/>
            </w:tcBorders>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ICA 2nd HFP harmonic</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2.42±0.41</w:t>
            </w: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2.54±0.41</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2.6±0.49</w:t>
            </w:r>
          </w:p>
        </w:tc>
      </w:tr>
      <w:tr w:rsidR="00D04F07" w:rsidRPr="00AD35F5" w:rsidTr="00D04F07">
        <w:trPr>
          <w:trHeight w:val="255"/>
        </w:trPr>
        <w:tc>
          <w:tcPr>
            <w:tcW w:w="1600" w:type="dxa"/>
            <w:vMerge/>
            <w:tcBorders>
              <w:top w:val="nil"/>
              <w:left w:val="nil"/>
              <w:bottom w:val="nil"/>
              <w:right w:val="nil"/>
            </w:tcBorders>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IJV 2nd HFP harmonic</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2.38±0.42</w:t>
            </w: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2.46±0.44</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2.66±0.43</w:t>
            </w:r>
          </w:p>
        </w:tc>
      </w:tr>
      <w:tr w:rsidR="00D04F07" w:rsidRPr="00AD35F5" w:rsidTr="00D04F07">
        <w:trPr>
          <w:trHeight w:val="255"/>
        </w:trPr>
        <w:tc>
          <w:tcPr>
            <w:tcW w:w="1600" w:type="dxa"/>
            <w:vMerge/>
            <w:tcBorders>
              <w:top w:val="nil"/>
              <w:left w:val="nil"/>
              <w:bottom w:val="nil"/>
              <w:right w:val="nil"/>
            </w:tcBorders>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ICA 3rd HFP harmonic</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3.63±0.62</w:t>
            </w: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3.72±0.69</w:t>
            </w:r>
            <w:r>
              <w:rPr>
                <w:rFonts w:ascii="Times New Roman" w:eastAsia="Times New Roman" w:hAnsi="Times New Roman" w:cs="Times New Roman"/>
              </w:rPr>
              <w:t>*</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3.9±0.72</w:t>
            </w:r>
          </w:p>
        </w:tc>
      </w:tr>
      <w:tr w:rsidR="00D04F07" w:rsidRPr="00AD35F5" w:rsidTr="00D04F07">
        <w:trPr>
          <w:trHeight w:val="255"/>
        </w:trPr>
        <w:tc>
          <w:tcPr>
            <w:tcW w:w="1600" w:type="dxa"/>
            <w:vMerge/>
            <w:tcBorders>
              <w:top w:val="nil"/>
              <w:left w:val="nil"/>
              <w:bottom w:val="nil"/>
              <w:right w:val="nil"/>
            </w:tcBorders>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IJV 3rd HFP harmonic</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3.53±0.7</w:t>
            </w: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3.69±0.73</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3.83±0.87</w:t>
            </w:r>
          </w:p>
        </w:tc>
      </w:tr>
      <w:tr w:rsidR="00D04F07" w:rsidRPr="00AD35F5" w:rsidTr="00D04F07">
        <w:trPr>
          <w:trHeight w:val="150"/>
        </w:trPr>
        <w:tc>
          <w:tcPr>
            <w:tcW w:w="1600" w:type="dxa"/>
            <w:tcBorders>
              <w:top w:val="nil"/>
              <w:left w:val="nil"/>
              <w:bottom w:val="nil"/>
              <w:right w:val="nil"/>
            </w:tcBorders>
            <w:shd w:val="clear" w:color="auto" w:fill="auto"/>
            <w:noWrap/>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p>
        </w:tc>
      </w:tr>
      <w:tr w:rsidR="00D04F07" w:rsidRPr="00AD35F5" w:rsidTr="00D04F07">
        <w:trPr>
          <w:trHeight w:val="255"/>
        </w:trPr>
        <w:tc>
          <w:tcPr>
            <w:tcW w:w="1600" w:type="dxa"/>
            <w:vMerge w:val="restart"/>
            <w:tcBorders>
              <w:top w:val="nil"/>
              <w:left w:val="nil"/>
              <w:bottom w:val="nil"/>
              <w:right w:val="nil"/>
            </w:tcBorders>
            <w:shd w:val="clear" w:color="auto" w:fill="auto"/>
            <w:noWrap/>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CSF acquisition</w:t>
            </w: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Pulse oxymeter</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1.23±0.24</w:t>
            </w: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1.32±0.22</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1.3</w:t>
            </w:r>
            <w:r>
              <w:rPr>
                <w:rFonts w:ascii="Times New Roman" w:eastAsia="Times New Roman" w:hAnsi="Times New Roman" w:cs="Times New Roman"/>
              </w:rPr>
              <w:t>7</w:t>
            </w:r>
            <w:r w:rsidRPr="00AD35F5">
              <w:rPr>
                <w:rFonts w:ascii="Times New Roman" w:eastAsia="Times New Roman" w:hAnsi="Times New Roman" w:cs="Times New Roman"/>
              </w:rPr>
              <w:t>±0.2</w:t>
            </w:r>
            <w:r>
              <w:rPr>
                <w:rFonts w:ascii="Times New Roman" w:eastAsia="Times New Roman" w:hAnsi="Times New Roman" w:cs="Times New Roman"/>
              </w:rPr>
              <w:t>3</w:t>
            </w:r>
          </w:p>
        </w:tc>
      </w:tr>
      <w:tr w:rsidR="00D04F07" w:rsidRPr="00AD35F5" w:rsidTr="00D04F07">
        <w:trPr>
          <w:trHeight w:val="255"/>
        </w:trPr>
        <w:tc>
          <w:tcPr>
            <w:tcW w:w="1600" w:type="dxa"/>
            <w:vMerge/>
            <w:tcBorders>
              <w:top w:val="nil"/>
              <w:left w:val="nil"/>
              <w:bottom w:val="nil"/>
              <w:right w:val="nil"/>
            </w:tcBorders>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CSF 1st HFP harmonic</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1.24±0.23</w:t>
            </w: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1.27±0.2</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1.37±0.22</w:t>
            </w:r>
          </w:p>
        </w:tc>
      </w:tr>
      <w:tr w:rsidR="00D04F07" w:rsidRPr="00AD35F5" w:rsidTr="00D04F07">
        <w:trPr>
          <w:trHeight w:val="255"/>
        </w:trPr>
        <w:tc>
          <w:tcPr>
            <w:tcW w:w="1600" w:type="dxa"/>
            <w:vMerge/>
            <w:tcBorders>
              <w:top w:val="nil"/>
              <w:left w:val="nil"/>
              <w:bottom w:val="nil"/>
              <w:right w:val="nil"/>
            </w:tcBorders>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CSF 2nd HFP harmonic</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2.5±0.43</w:t>
            </w: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2.55±0.42</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2.72±0.43</w:t>
            </w:r>
          </w:p>
        </w:tc>
      </w:tr>
      <w:tr w:rsidR="00D04F07" w:rsidRPr="00AD35F5" w:rsidTr="00D04F07">
        <w:trPr>
          <w:trHeight w:val="255"/>
        </w:trPr>
        <w:tc>
          <w:tcPr>
            <w:tcW w:w="1600" w:type="dxa"/>
            <w:vMerge/>
            <w:tcBorders>
              <w:top w:val="nil"/>
              <w:left w:val="nil"/>
              <w:bottom w:val="nil"/>
              <w:right w:val="nil"/>
            </w:tcBorders>
            <w:vAlign w:val="center"/>
            <w:hideMark/>
          </w:tcPr>
          <w:p w:rsidR="00D04F07" w:rsidRPr="00AD35F5" w:rsidRDefault="00D04F07" w:rsidP="005500ED">
            <w:pPr>
              <w:spacing w:after="0" w:line="240" w:lineRule="auto"/>
              <w:jc w:val="both"/>
              <w:rPr>
                <w:rFonts w:ascii="Times New Roman" w:eastAsia="Times New Roman" w:hAnsi="Times New Roman" w:cs="Times New Roman"/>
              </w:rPr>
            </w:pPr>
          </w:p>
        </w:tc>
        <w:tc>
          <w:tcPr>
            <w:tcW w:w="2443" w:type="dxa"/>
            <w:tcBorders>
              <w:top w:val="nil"/>
              <w:left w:val="nil"/>
              <w:bottom w:val="nil"/>
              <w:right w:val="nil"/>
            </w:tcBorders>
            <w:shd w:val="clear" w:color="auto" w:fill="auto"/>
            <w:vAlign w:val="center"/>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CSF 3rd HFP harmonic</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3.56±0.7</w:t>
            </w:r>
          </w:p>
        </w:tc>
        <w:tc>
          <w:tcPr>
            <w:tcW w:w="1217"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3.75±0.59</w:t>
            </w:r>
          </w:p>
        </w:tc>
        <w:tc>
          <w:tcPr>
            <w:tcW w:w="1160" w:type="dxa"/>
            <w:tcBorders>
              <w:top w:val="nil"/>
              <w:left w:val="nil"/>
              <w:bottom w:val="nil"/>
              <w:right w:val="nil"/>
            </w:tcBorders>
            <w:shd w:val="clear" w:color="auto" w:fill="auto"/>
            <w:noWrap/>
            <w:vAlign w:val="bottom"/>
            <w:hideMark/>
          </w:tcPr>
          <w:p w:rsidR="00D04F07" w:rsidRPr="00AD35F5" w:rsidRDefault="00D04F07" w:rsidP="005500ED">
            <w:pPr>
              <w:spacing w:after="0" w:line="240" w:lineRule="auto"/>
              <w:jc w:val="both"/>
              <w:rPr>
                <w:rFonts w:ascii="Times New Roman" w:eastAsia="Times New Roman" w:hAnsi="Times New Roman" w:cs="Times New Roman"/>
              </w:rPr>
            </w:pPr>
            <w:r w:rsidRPr="00AD35F5">
              <w:rPr>
                <w:rFonts w:ascii="Times New Roman" w:eastAsia="Times New Roman" w:hAnsi="Times New Roman" w:cs="Times New Roman"/>
              </w:rPr>
              <w:t>3.98±0.79</w:t>
            </w:r>
          </w:p>
        </w:tc>
      </w:tr>
    </w:tbl>
    <w:p w:rsidR="00D04F07" w:rsidRDefault="00D04F07" w:rsidP="00D04F07">
      <w:pPr>
        <w:spacing w:line="480" w:lineRule="auto"/>
        <w:jc w:val="both"/>
        <w:rPr>
          <w:rFonts w:ascii="Times New Roman" w:hAnsi="Times New Roman" w:cs="Times New Roman"/>
          <w:b/>
          <w:lang w:val="en-US"/>
        </w:rPr>
      </w:pPr>
    </w:p>
    <w:p w:rsidR="00D04F07" w:rsidRPr="00343AE9" w:rsidRDefault="00D04F07" w:rsidP="00D04F07">
      <w:pPr>
        <w:spacing w:line="480" w:lineRule="auto"/>
        <w:jc w:val="both"/>
        <w:rPr>
          <w:rFonts w:ascii="Times New Roman" w:hAnsi="Times New Roman" w:cs="Times New Roman"/>
          <w:lang w:val="en-US"/>
        </w:rPr>
      </w:pPr>
      <w:r w:rsidRPr="00343AE9">
        <w:rPr>
          <w:rFonts w:ascii="Times New Roman" w:hAnsi="Times New Roman" w:cs="Times New Roman"/>
          <w:b/>
          <w:lang w:val="en-US"/>
        </w:rPr>
        <w:t xml:space="preserve">Supplementary Table 4. </w:t>
      </w:r>
      <w:r w:rsidRPr="00343AE9">
        <w:rPr>
          <w:rFonts w:ascii="Times New Roman" w:hAnsi="Times New Roman" w:cs="Times New Roman"/>
          <w:lang w:val="en-US"/>
        </w:rPr>
        <w:t xml:space="preserve"> Normalized powers in the low-frequency band (R), and in the 0.5Hz-wide bands centered on the 1</w:t>
      </w:r>
      <w:r w:rsidRPr="00343AE9">
        <w:rPr>
          <w:rFonts w:ascii="Times New Roman" w:hAnsi="Times New Roman" w:cs="Times New Roman"/>
          <w:vertAlign w:val="superscript"/>
          <w:lang w:val="en-US"/>
        </w:rPr>
        <w:t>st</w:t>
      </w:r>
      <w:r w:rsidRPr="00343AE9">
        <w:rPr>
          <w:rFonts w:ascii="Times New Roman" w:hAnsi="Times New Roman" w:cs="Times New Roman"/>
          <w:lang w:val="en-US"/>
        </w:rPr>
        <w:t>, 2</w:t>
      </w:r>
      <w:r w:rsidRPr="00343AE9">
        <w:rPr>
          <w:rFonts w:ascii="Times New Roman" w:hAnsi="Times New Roman" w:cs="Times New Roman"/>
          <w:vertAlign w:val="superscript"/>
          <w:lang w:val="en-US"/>
        </w:rPr>
        <w:t>nd</w:t>
      </w:r>
      <w:r w:rsidRPr="00343AE9">
        <w:rPr>
          <w:rFonts w:ascii="Times New Roman" w:hAnsi="Times New Roman" w:cs="Times New Roman"/>
          <w:lang w:val="en-US"/>
        </w:rPr>
        <w:t>, and 3</w:t>
      </w:r>
      <w:r w:rsidRPr="00343AE9">
        <w:rPr>
          <w:rFonts w:ascii="Times New Roman" w:hAnsi="Times New Roman" w:cs="Times New Roman"/>
          <w:vertAlign w:val="superscript"/>
          <w:lang w:val="en-US"/>
        </w:rPr>
        <w:t>rd</w:t>
      </w:r>
      <w:r w:rsidRPr="00343AE9">
        <w:rPr>
          <w:rFonts w:ascii="Times New Roman" w:hAnsi="Times New Roman" w:cs="Times New Roman"/>
          <w:lang w:val="en-US"/>
        </w:rPr>
        <w:t xml:space="preserve"> HFP (HR1, HR2 and HR3 respectively), for Internal Carotid Artery (ICA), Internal Jugular vein (IJV), and cerebrospinal fluid (CSF). Median[range] values are provided.  Free (F), paced normal (PN), paced and deep (PD) respirations are compared, and the Bonferroni-corrected p-values of the paired comparisons are reported. Normalized powers were compared also among various bands: we underlined the pairs of comparisons that were not significantly different with the letters from a to i (a,c,d,e,f,g,h,i:p=1; b: p=0.324), since they are useful to understand the trend of the power in the R band compared to the cardiac sub-harmonic; all the other pairs are significantly different.</w:t>
      </w:r>
    </w:p>
    <w:p w:rsidR="00D04F07" w:rsidRPr="00343AE9" w:rsidRDefault="00D04F07" w:rsidP="00D04F07">
      <w:pPr>
        <w:jc w:val="both"/>
        <w:rPr>
          <w:rFonts w:ascii="Times New Roman" w:hAnsi="Times New Roman" w:cs="Times New Roman"/>
          <w:lang w:val="en-US"/>
        </w:rPr>
      </w:pPr>
    </w:p>
    <w:tbl>
      <w:tblPr>
        <w:tblW w:w="9826" w:type="dxa"/>
        <w:tblLook w:val="04A0" w:firstRow="1" w:lastRow="0" w:firstColumn="1" w:lastColumn="0" w:noHBand="0" w:noVBand="1"/>
      </w:tblPr>
      <w:tblGrid>
        <w:gridCol w:w="709"/>
        <w:gridCol w:w="960"/>
        <w:gridCol w:w="1875"/>
        <w:gridCol w:w="1701"/>
        <w:gridCol w:w="1701"/>
        <w:gridCol w:w="960"/>
        <w:gridCol w:w="960"/>
        <w:gridCol w:w="960"/>
      </w:tblGrid>
      <w:tr w:rsidR="00D04F07" w:rsidRPr="00B95300" w:rsidTr="005500ED">
        <w:trPr>
          <w:trHeight w:val="525"/>
        </w:trPr>
        <w:tc>
          <w:tcPr>
            <w:tcW w:w="709"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343AE9">
              <w:rPr>
                <w:rFonts w:ascii="Times New Roman" w:eastAsia="Times New Roman" w:hAnsi="Times New Roman" w:cs="Times New Roman"/>
                <w:color w:val="000000"/>
                <w:sz w:val="20"/>
                <w:szCs w:val="20"/>
                <w:lang w:val="en-US"/>
              </w:rPr>
              <w:t> </w:t>
            </w:r>
            <w:r>
              <w:rPr>
                <w:rFonts w:ascii="Times New Roman" w:eastAsia="Times New Roman" w:hAnsi="Times New Roman" w:cs="Times New Roman"/>
                <w:color w:val="000000"/>
                <w:sz w:val="20"/>
                <w:szCs w:val="20"/>
              </w:rPr>
              <w:t>Band</w:t>
            </w:r>
          </w:p>
        </w:tc>
        <w:tc>
          <w:tcPr>
            <w:tcW w:w="960" w:type="dxa"/>
            <w:tcBorders>
              <w:top w:val="nil"/>
              <w:left w:val="nil"/>
              <w:bottom w:val="single" w:sz="4" w:space="0" w:color="auto"/>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Region of interest</w:t>
            </w:r>
            <w:r w:rsidRPr="00B95300">
              <w:rPr>
                <w:rFonts w:ascii="Times New Roman" w:eastAsia="Times New Roman" w:hAnsi="Times New Roman" w:cs="Times New Roman"/>
                <w:sz w:val="20"/>
                <w:szCs w:val="20"/>
              </w:rPr>
              <w:t> </w:t>
            </w:r>
          </w:p>
        </w:tc>
        <w:tc>
          <w:tcPr>
            <w:tcW w:w="1875" w:type="dxa"/>
            <w:tcBorders>
              <w:top w:val="nil"/>
              <w:left w:val="nil"/>
              <w:bottom w:val="single" w:sz="4" w:space="0" w:color="auto"/>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sz w:val="20"/>
                <w:szCs w:val="20"/>
              </w:rPr>
            </w:pPr>
            <w:r w:rsidRPr="00B95300">
              <w:rPr>
                <w:rFonts w:ascii="Times New Roman" w:eastAsia="Times New Roman" w:hAnsi="Times New Roman" w:cs="Times New Roman"/>
                <w:sz w:val="20"/>
                <w:szCs w:val="20"/>
              </w:rPr>
              <w:t>F</w:t>
            </w:r>
          </w:p>
        </w:tc>
        <w:tc>
          <w:tcPr>
            <w:tcW w:w="1701" w:type="dxa"/>
            <w:tcBorders>
              <w:top w:val="nil"/>
              <w:left w:val="nil"/>
              <w:bottom w:val="single" w:sz="4" w:space="0" w:color="auto"/>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sz w:val="20"/>
                <w:szCs w:val="20"/>
              </w:rPr>
            </w:pPr>
            <w:r w:rsidRPr="00B95300">
              <w:rPr>
                <w:rFonts w:ascii="Times New Roman" w:eastAsia="Times New Roman" w:hAnsi="Times New Roman" w:cs="Times New Roman"/>
                <w:sz w:val="20"/>
                <w:szCs w:val="20"/>
              </w:rPr>
              <w:t>PN</w:t>
            </w:r>
          </w:p>
        </w:tc>
        <w:tc>
          <w:tcPr>
            <w:tcW w:w="1701" w:type="dxa"/>
            <w:tcBorders>
              <w:top w:val="nil"/>
              <w:left w:val="nil"/>
              <w:bottom w:val="single" w:sz="4" w:space="0" w:color="auto"/>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sz w:val="20"/>
                <w:szCs w:val="20"/>
              </w:rPr>
            </w:pPr>
            <w:r w:rsidRPr="00B95300">
              <w:rPr>
                <w:rFonts w:ascii="Times New Roman" w:eastAsia="Times New Roman" w:hAnsi="Times New Roman" w:cs="Times New Roman"/>
                <w:sz w:val="20"/>
                <w:szCs w:val="20"/>
              </w:rPr>
              <w:t>PD</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F vs PN</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F vs PD</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PN vs PD</w:t>
            </w:r>
          </w:p>
        </w:tc>
      </w:tr>
      <w:tr w:rsidR="00D04F07" w:rsidRPr="00B95300" w:rsidTr="005500ED">
        <w:trPr>
          <w:trHeight w:val="300"/>
        </w:trPr>
        <w:tc>
          <w:tcPr>
            <w:tcW w:w="709" w:type="dxa"/>
            <w:vMerge w:val="restart"/>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R</w:t>
            </w:r>
          </w:p>
        </w:tc>
        <w:tc>
          <w:tcPr>
            <w:tcW w:w="960" w:type="dxa"/>
            <w:tcBorders>
              <w:top w:val="single" w:sz="4" w:space="0" w:color="auto"/>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ICA</w:t>
            </w:r>
          </w:p>
        </w:tc>
        <w:tc>
          <w:tcPr>
            <w:tcW w:w="1875"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6450FA">
              <w:rPr>
                <w:rFonts w:ascii="Times New Roman" w:eastAsia="Times New Roman" w:hAnsi="Times New Roman" w:cs="Times New Roman"/>
                <w:color w:val="000000"/>
                <w:sz w:val="20"/>
                <w:szCs w:val="20"/>
              </w:rPr>
              <w:t>0.01[0.01-0.07]</w:t>
            </w:r>
          </w:p>
        </w:tc>
        <w:tc>
          <w:tcPr>
            <w:tcW w:w="1701"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6450FA">
              <w:rPr>
                <w:rFonts w:ascii="Times New Roman" w:eastAsia="Times New Roman" w:hAnsi="Times New Roman" w:cs="Times New Roman"/>
                <w:color w:val="000000"/>
                <w:sz w:val="20"/>
                <w:szCs w:val="20"/>
              </w:rPr>
              <w:t>0.03[0.01-0.11]</w:t>
            </w:r>
          </w:p>
        </w:tc>
        <w:tc>
          <w:tcPr>
            <w:tcW w:w="1701"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6450FA">
              <w:rPr>
                <w:rFonts w:ascii="Times New Roman" w:eastAsia="Times New Roman" w:hAnsi="Times New Roman" w:cs="Times New Roman"/>
                <w:color w:val="000000"/>
                <w:sz w:val="20"/>
                <w:szCs w:val="20"/>
              </w:rPr>
              <w:t>0.07[0.02-0.44]</w:t>
            </w:r>
            <w:r w:rsidRPr="00B95300">
              <w:rPr>
                <w:rFonts w:ascii="Times New Roman" w:eastAsia="Times New Roman" w:hAnsi="Times New Roman" w:cs="Times New Roman"/>
                <w:color w:val="000000"/>
                <w:sz w:val="20"/>
                <w:szCs w:val="20"/>
              </w:rPr>
              <w:t>a</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0.005</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&lt;0.001</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&lt;0.001</w:t>
            </w:r>
          </w:p>
        </w:tc>
      </w:tr>
      <w:tr w:rsidR="00D04F07" w:rsidRPr="00B95300" w:rsidTr="005500ED">
        <w:trPr>
          <w:trHeight w:val="300"/>
        </w:trPr>
        <w:tc>
          <w:tcPr>
            <w:tcW w:w="709" w:type="dxa"/>
            <w:vMerge/>
            <w:tcBorders>
              <w:top w:val="nil"/>
              <w:left w:val="nil"/>
              <w:bottom w:val="nil"/>
              <w:right w:val="nil"/>
            </w:tcBorders>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p>
        </w:tc>
        <w:tc>
          <w:tcPr>
            <w:tcW w:w="960" w:type="dxa"/>
            <w:tcBorders>
              <w:top w:val="nil"/>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IJV</w:t>
            </w:r>
          </w:p>
        </w:tc>
        <w:tc>
          <w:tcPr>
            <w:tcW w:w="1875"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6450FA">
              <w:rPr>
                <w:rFonts w:ascii="Times New Roman" w:eastAsia="Times New Roman" w:hAnsi="Times New Roman" w:cs="Times New Roman"/>
                <w:color w:val="000000"/>
                <w:sz w:val="20"/>
                <w:szCs w:val="20"/>
              </w:rPr>
              <w:t>0.06[0.01-0.52]</w:t>
            </w:r>
            <w:r w:rsidRPr="00B95300">
              <w:rPr>
                <w:rFonts w:ascii="Times New Roman" w:eastAsia="Times New Roman" w:hAnsi="Times New Roman" w:cs="Times New Roman"/>
                <w:color w:val="000000"/>
                <w:sz w:val="20"/>
                <w:szCs w:val="20"/>
              </w:rPr>
              <w:t>b</w:t>
            </w:r>
            <w:r>
              <w:rPr>
                <w:rFonts w:ascii="Times New Roman" w:eastAsia="Times New Roman" w:hAnsi="Times New Roman" w:cs="Times New Roman"/>
                <w:color w:val="000000"/>
                <w:sz w:val="20"/>
                <w:szCs w:val="20"/>
              </w:rPr>
              <w:t>,c</w:t>
            </w:r>
          </w:p>
        </w:tc>
        <w:tc>
          <w:tcPr>
            <w:tcW w:w="1701"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6450FA">
              <w:rPr>
                <w:rFonts w:ascii="Times New Roman" w:eastAsia="Times New Roman" w:hAnsi="Times New Roman" w:cs="Times New Roman"/>
                <w:color w:val="000000"/>
                <w:sz w:val="20"/>
                <w:szCs w:val="20"/>
              </w:rPr>
              <w:t>0.1[0.01-0.49]</w:t>
            </w:r>
            <w:r>
              <w:rPr>
                <w:rFonts w:ascii="Times New Roman" w:eastAsia="Times New Roman" w:hAnsi="Times New Roman" w:cs="Times New Roman"/>
                <w:color w:val="000000"/>
                <w:sz w:val="20"/>
                <w:szCs w:val="20"/>
              </w:rPr>
              <w:t>d,e</w:t>
            </w:r>
          </w:p>
        </w:tc>
        <w:tc>
          <w:tcPr>
            <w:tcW w:w="1701"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0.31[0.04-0.74]f,g</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0.002</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&lt;0.001</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r>
      <w:tr w:rsidR="00D04F07" w:rsidRPr="00B95300" w:rsidTr="005500ED">
        <w:trPr>
          <w:trHeight w:val="300"/>
        </w:trPr>
        <w:tc>
          <w:tcPr>
            <w:tcW w:w="709" w:type="dxa"/>
            <w:vMerge/>
            <w:tcBorders>
              <w:top w:val="nil"/>
              <w:left w:val="nil"/>
              <w:bottom w:val="single" w:sz="4" w:space="0" w:color="auto"/>
              <w:right w:val="nil"/>
            </w:tcBorders>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p>
        </w:tc>
        <w:tc>
          <w:tcPr>
            <w:tcW w:w="960" w:type="dxa"/>
            <w:tcBorders>
              <w:top w:val="nil"/>
              <w:left w:val="nil"/>
              <w:bottom w:val="single" w:sz="4" w:space="0" w:color="auto"/>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CSF</w:t>
            </w:r>
          </w:p>
        </w:tc>
        <w:tc>
          <w:tcPr>
            <w:tcW w:w="1875"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6450FA">
              <w:rPr>
                <w:rFonts w:ascii="Times New Roman" w:eastAsia="Times New Roman" w:hAnsi="Times New Roman" w:cs="Times New Roman"/>
                <w:color w:val="000000"/>
                <w:sz w:val="20"/>
                <w:szCs w:val="20"/>
              </w:rPr>
              <w:t>0.02[0.01-0.17]</w:t>
            </w:r>
            <w:r>
              <w:rPr>
                <w:rFonts w:ascii="Times New Roman" w:eastAsia="Times New Roman" w:hAnsi="Times New Roman" w:cs="Times New Roman"/>
                <w:color w:val="000000"/>
                <w:sz w:val="20"/>
                <w:szCs w:val="20"/>
              </w:rPr>
              <w:t>h</w:t>
            </w:r>
          </w:p>
        </w:tc>
        <w:tc>
          <w:tcPr>
            <w:tcW w:w="1701"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6450FA">
              <w:rPr>
                <w:rFonts w:ascii="Times New Roman" w:eastAsia="Times New Roman" w:hAnsi="Times New Roman" w:cs="Times New Roman"/>
                <w:color w:val="000000"/>
                <w:sz w:val="20"/>
                <w:szCs w:val="20"/>
              </w:rPr>
              <w:t>0.05[0.01-0.28]</w:t>
            </w:r>
          </w:p>
        </w:tc>
        <w:tc>
          <w:tcPr>
            <w:tcW w:w="1701"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6450FA">
              <w:rPr>
                <w:rFonts w:ascii="Times New Roman" w:eastAsia="Times New Roman" w:hAnsi="Times New Roman" w:cs="Times New Roman"/>
                <w:color w:val="000000"/>
                <w:sz w:val="20"/>
                <w:szCs w:val="20"/>
              </w:rPr>
              <w:t>0.13[0.02-0.42]</w:t>
            </w:r>
            <w:r w:rsidRPr="00B95300">
              <w:rPr>
                <w:rFonts w:ascii="Times New Roman" w:eastAsia="Times New Roman" w:hAnsi="Times New Roman" w:cs="Times New Roman"/>
                <w:color w:val="000000"/>
                <w:sz w:val="20"/>
                <w:szCs w:val="20"/>
              </w:rPr>
              <w:t>i</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0.014</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&lt;0.001</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0.004</w:t>
            </w:r>
          </w:p>
        </w:tc>
      </w:tr>
      <w:tr w:rsidR="00D04F07" w:rsidRPr="00B95300" w:rsidTr="005500ED">
        <w:trPr>
          <w:trHeight w:val="300"/>
        </w:trPr>
        <w:tc>
          <w:tcPr>
            <w:tcW w:w="709" w:type="dxa"/>
            <w:vMerge w:val="restart"/>
            <w:tcBorders>
              <w:top w:val="single" w:sz="4" w:space="0" w:color="auto"/>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HR1</w:t>
            </w:r>
          </w:p>
        </w:tc>
        <w:tc>
          <w:tcPr>
            <w:tcW w:w="960" w:type="dxa"/>
            <w:tcBorders>
              <w:top w:val="single" w:sz="4" w:space="0" w:color="auto"/>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ICA</w:t>
            </w:r>
          </w:p>
        </w:tc>
        <w:tc>
          <w:tcPr>
            <w:tcW w:w="1875" w:type="dxa"/>
            <w:tcBorders>
              <w:top w:val="single" w:sz="4" w:space="0" w:color="auto"/>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0.56[0.42-0.67]</w:t>
            </w:r>
          </w:p>
        </w:tc>
        <w:tc>
          <w:tcPr>
            <w:tcW w:w="1701" w:type="dxa"/>
            <w:tcBorders>
              <w:top w:val="single" w:sz="4" w:space="0" w:color="auto"/>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0.53[0.29-0.66]</w:t>
            </w:r>
          </w:p>
        </w:tc>
        <w:tc>
          <w:tcPr>
            <w:tcW w:w="1701" w:type="dxa"/>
            <w:tcBorders>
              <w:top w:val="single" w:sz="4" w:space="0" w:color="auto"/>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0.44[0.25-0.62]</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0.090</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&lt;0.001</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0.001</w:t>
            </w:r>
          </w:p>
        </w:tc>
      </w:tr>
      <w:tr w:rsidR="00D04F07" w:rsidRPr="00B95300" w:rsidTr="005500ED">
        <w:trPr>
          <w:trHeight w:val="510"/>
        </w:trPr>
        <w:tc>
          <w:tcPr>
            <w:tcW w:w="709" w:type="dxa"/>
            <w:vMerge/>
            <w:tcBorders>
              <w:top w:val="nil"/>
              <w:left w:val="nil"/>
              <w:bottom w:val="nil"/>
              <w:right w:val="nil"/>
            </w:tcBorders>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p>
        </w:tc>
        <w:tc>
          <w:tcPr>
            <w:tcW w:w="960" w:type="dxa"/>
            <w:tcBorders>
              <w:top w:val="nil"/>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IJV</w:t>
            </w:r>
          </w:p>
        </w:tc>
        <w:tc>
          <w:tcPr>
            <w:tcW w:w="1875" w:type="dxa"/>
            <w:tcBorders>
              <w:top w:val="nil"/>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0.57[0.13-0.83]</w:t>
            </w:r>
          </w:p>
        </w:tc>
        <w:tc>
          <w:tcPr>
            <w:tcW w:w="1701" w:type="dxa"/>
            <w:tcBorders>
              <w:top w:val="nil"/>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0.45[0.07-0.79]</w:t>
            </w:r>
            <w:r>
              <w:rPr>
                <w:rFonts w:ascii="Times New Roman" w:eastAsia="Times New Roman" w:hAnsi="Times New Roman" w:cs="Times New Roman"/>
                <w:color w:val="000000"/>
                <w:sz w:val="20"/>
                <w:szCs w:val="20"/>
              </w:rPr>
              <w:t>d</w:t>
            </w:r>
          </w:p>
        </w:tc>
        <w:tc>
          <w:tcPr>
            <w:tcW w:w="1701" w:type="dxa"/>
            <w:tcBorders>
              <w:top w:val="nil"/>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0.16[0.05-0.81]f</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0.398</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&lt;0.001</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0.004</w:t>
            </w:r>
          </w:p>
        </w:tc>
      </w:tr>
      <w:tr w:rsidR="00D04F07" w:rsidRPr="00B95300" w:rsidTr="005500ED">
        <w:trPr>
          <w:trHeight w:val="300"/>
        </w:trPr>
        <w:tc>
          <w:tcPr>
            <w:tcW w:w="709" w:type="dxa"/>
            <w:vMerge/>
            <w:tcBorders>
              <w:top w:val="nil"/>
              <w:left w:val="nil"/>
              <w:bottom w:val="single" w:sz="4" w:space="0" w:color="auto"/>
              <w:right w:val="nil"/>
            </w:tcBorders>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p>
        </w:tc>
        <w:tc>
          <w:tcPr>
            <w:tcW w:w="960" w:type="dxa"/>
            <w:tcBorders>
              <w:top w:val="nil"/>
              <w:left w:val="nil"/>
              <w:bottom w:val="single" w:sz="4" w:space="0" w:color="auto"/>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CSF</w:t>
            </w:r>
          </w:p>
        </w:tc>
        <w:tc>
          <w:tcPr>
            <w:tcW w:w="1875" w:type="dxa"/>
            <w:tcBorders>
              <w:top w:val="nil"/>
              <w:left w:val="nil"/>
              <w:bottom w:val="single" w:sz="4" w:space="0" w:color="auto"/>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0.73[0.53-0.87]</w:t>
            </w:r>
          </w:p>
        </w:tc>
        <w:tc>
          <w:tcPr>
            <w:tcW w:w="1701" w:type="dxa"/>
            <w:tcBorders>
              <w:top w:val="nil"/>
              <w:left w:val="nil"/>
              <w:bottom w:val="single" w:sz="4" w:space="0" w:color="auto"/>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0.69[0.47-0.84]</w:t>
            </w:r>
          </w:p>
        </w:tc>
        <w:tc>
          <w:tcPr>
            <w:tcW w:w="1701" w:type="dxa"/>
            <w:tcBorders>
              <w:top w:val="nil"/>
              <w:left w:val="nil"/>
              <w:bottom w:val="single" w:sz="4" w:space="0" w:color="auto"/>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0.61[0.37-0.77]</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0.858</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0.001</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0.033</w:t>
            </w:r>
          </w:p>
        </w:tc>
      </w:tr>
      <w:tr w:rsidR="00D04F07" w:rsidRPr="00B95300" w:rsidTr="005500ED">
        <w:trPr>
          <w:trHeight w:val="300"/>
        </w:trPr>
        <w:tc>
          <w:tcPr>
            <w:tcW w:w="709" w:type="dxa"/>
            <w:vMerge w:val="restart"/>
            <w:tcBorders>
              <w:top w:val="single" w:sz="4" w:space="0" w:color="auto"/>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lastRenderedPageBreak/>
              <w:t>HR2</w:t>
            </w:r>
          </w:p>
        </w:tc>
        <w:tc>
          <w:tcPr>
            <w:tcW w:w="960" w:type="dxa"/>
            <w:tcBorders>
              <w:top w:val="single" w:sz="4" w:space="0" w:color="auto"/>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ICA</w:t>
            </w:r>
          </w:p>
        </w:tc>
        <w:tc>
          <w:tcPr>
            <w:tcW w:w="1875" w:type="dxa"/>
            <w:tcBorders>
              <w:top w:val="single" w:sz="4" w:space="0" w:color="auto"/>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0.2[0.1-0.44]</w:t>
            </w:r>
          </w:p>
        </w:tc>
        <w:tc>
          <w:tcPr>
            <w:tcW w:w="1701" w:type="dxa"/>
            <w:tcBorders>
              <w:top w:val="single" w:sz="4" w:space="0" w:color="auto"/>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0.22[0.1-0.43]</w:t>
            </w:r>
          </w:p>
        </w:tc>
        <w:tc>
          <w:tcPr>
            <w:tcW w:w="1701" w:type="dxa"/>
            <w:tcBorders>
              <w:top w:val="single" w:sz="4" w:space="0" w:color="auto"/>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0.21[0.07-0.38]</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r>
      <w:tr w:rsidR="00D04F07" w:rsidRPr="00B95300" w:rsidTr="005500ED">
        <w:trPr>
          <w:trHeight w:val="300"/>
        </w:trPr>
        <w:tc>
          <w:tcPr>
            <w:tcW w:w="709" w:type="dxa"/>
            <w:vMerge/>
            <w:tcBorders>
              <w:top w:val="nil"/>
              <w:left w:val="nil"/>
              <w:bottom w:val="nil"/>
              <w:right w:val="nil"/>
            </w:tcBorders>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p>
        </w:tc>
        <w:tc>
          <w:tcPr>
            <w:tcW w:w="960" w:type="dxa"/>
            <w:tcBorders>
              <w:top w:val="nil"/>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IJV</w:t>
            </w:r>
          </w:p>
        </w:tc>
        <w:tc>
          <w:tcPr>
            <w:tcW w:w="1875"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0.14[0.03-0.36]b</w:t>
            </w:r>
          </w:p>
        </w:tc>
        <w:tc>
          <w:tcPr>
            <w:tcW w:w="1701" w:type="dxa"/>
            <w:tcBorders>
              <w:top w:val="nil"/>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0.11[0.02-0.26]</w:t>
            </w:r>
            <w:r>
              <w:rPr>
                <w:rFonts w:ascii="Times New Roman" w:eastAsia="Times New Roman" w:hAnsi="Times New Roman" w:cs="Times New Roman"/>
                <w:color w:val="000000"/>
                <w:sz w:val="20"/>
                <w:szCs w:val="20"/>
              </w:rPr>
              <w:t>e</w:t>
            </w:r>
          </w:p>
        </w:tc>
        <w:tc>
          <w:tcPr>
            <w:tcW w:w="1701"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0.06[0.01-0.24]g</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0.003</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r>
      <w:tr w:rsidR="00D04F07" w:rsidRPr="00B95300" w:rsidTr="005500ED">
        <w:trPr>
          <w:trHeight w:val="300"/>
        </w:trPr>
        <w:tc>
          <w:tcPr>
            <w:tcW w:w="709" w:type="dxa"/>
            <w:vMerge/>
            <w:tcBorders>
              <w:top w:val="nil"/>
              <w:left w:val="nil"/>
              <w:bottom w:val="single" w:sz="4" w:space="0" w:color="auto"/>
              <w:right w:val="nil"/>
            </w:tcBorders>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p>
        </w:tc>
        <w:tc>
          <w:tcPr>
            <w:tcW w:w="960" w:type="dxa"/>
            <w:tcBorders>
              <w:top w:val="nil"/>
              <w:left w:val="nil"/>
              <w:bottom w:val="single" w:sz="4" w:space="0" w:color="auto"/>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CSF</w:t>
            </w:r>
          </w:p>
        </w:tc>
        <w:tc>
          <w:tcPr>
            <w:tcW w:w="1875" w:type="dxa"/>
            <w:tcBorders>
              <w:top w:val="nil"/>
              <w:left w:val="nil"/>
              <w:bottom w:val="single" w:sz="4" w:space="0" w:color="auto"/>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0.14[0.05-0.27]</w:t>
            </w:r>
          </w:p>
        </w:tc>
        <w:tc>
          <w:tcPr>
            <w:tcW w:w="1701" w:type="dxa"/>
            <w:tcBorders>
              <w:top w:val="nil"/>
              <w:left w:val="nil"/>
              <w:bottom w:val="single" w:sz="4" w:space="0" w:color="auto"/>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0.13[0.05-0.27]</w:t>
            </w:r>
          </w:p>
        </w:tc>
        <w:tc>
          <w:tcPr>
            <w:tcW w:w="1701" w:type="dxa"/>
            <w:tcBorders>
              <w:top w:val="nil"/>
              <w:left w:val="nil"/>
              <w:bottom w:val="single" w:sz="4" w:space="0" w:color="auto"/>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0.09[0.05-0.2]i</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b/>
                <w:bCs/>
                <w:color w:val="000000"/>
                <w:sz w:val="20"/>
                <w:szCs w:val="20"/>
              </w:rPr>
            </w:pPr>
            <w:r w:rsidRPr="00B95300">
              <w:rPr>
                <w:rFonts w:ascii="Times New Roman" w:eastAsia="Times New Roman" w:hAnsi="Times New Roman" w:cs="Times New Roman"/>
                <w:b/>
                <w:bCs/>
                <w:color w:val="000000"/>
                <w:sz w:val="20"/>
                <w:szCs w:val="20"/>
              </w:rPr>
              <w:t>0.039</w:t>
            </w:r>
          </w:p>
        </w:tc>
        <w:tc>
          <w:tcPr>
            <w:tcW w:w="960" w:type="dxa"/>
            <w:tcBorders>
              <w:top w:val="nil"/>
              <w:left w:val="nil"/>
              <w:bottom w:val="single" w:sz="4" w:space="0" w:color="auto"/>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r>
      <w:tr w:rsidR="00D04F07" w:rsidRPr="00B95300" w:rsidTr="005500ED">
        <w:trPr>
          <w:trHeight w:val="300"/>
        </w:trPr>
        <w:tc>
          <w:tcPr>
            <w:tcW w:w="709" w:type="dxa"/>
            <w:vMerge w:val="restart"/>
            <w:tcBorders>
              <w:top w:val="single" w:sz="4" w:space="0" w:color="auto"/>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HR3</w:t>
            </w:r>
          </w:p>
        </w:tc>
        <w:tc>
          <w:tcPr>
            <w:tcW w:w="960" w:type="dxa"/>
            <w:tcBorders>
              <w:top w:val="single" w:sz="4" w:space="0" w:color="auto"/>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ICA</w:t>
            </w:r>
          </w:p>
        </w:tc>
        <w:tc>
          <w:tcPr>
            <w:tcW w:w="1875" w:type="dxa"/>
            <w:tcBorders>
              <w:top w:val="single" w:sz="4" w:space="0" w:color="auto"/>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0.06[0.01-0.15]</w:t>
            </w:r>
          </w:p>
        </w:tc>
        <w:tc>
          <w:tcPr>
            <w:tcW w:w="1701" w:type="dxa"/>
            <w:tcBorders>
              <w:top w:val="single" w:sz="4" w:space="0" w:color="auto"/>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0.05[0.01-0.17]</w:t>
            </w:r>
          </w:p>
        </w:tc>
        <w:tc>
          <w:tcPr>
            <w:tcW w:w="1701" w:type="dxa"/>
            <w:tcBorders>
              <w:top w:val="single" w:sz="4" w:space="0" w:color="auto"/>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0.04[0.01-0.17]a</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0.8</w:t>
            </w:r>
          </w:p>
        </w:tc>
        <w:tc>
          <w:tcPr>
            <w:tcW w:w="960" w:type="dxa"/>
            <w:tcBorders>
              <w:top w:val="single" w:sz="4" w:space="0" w:color="auto"/>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0.247</w:t>
            </w:r>
          </w:p>
        </w:tc>
      </w:tr>
      <w:tr w:rsidR="00D04F07" w:rsidRPr="00B95300" w:rsidTr="005500ED">
        <w:trPr>
          <w:trHeight w:val="300"/>
        </w:trPr>
        <w:tc>
          <w:tcPr>
            <w:tcW w:w="709" w:type="dxa"/>
            <w:vMerge/>
            <w:tcBorders>
              <w:top w:val="nil"/>
              <w:left w:val="nil"/>
              <w:bottom w:val="nil"/>
              <w:right w:val="nil"/>
            </w:tcBorders>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p>
        </w:tc>
        <w:tc>
          <w:tcPr>
            <w:tcW w:w="960" w:type="dxa"/>
            <w:tcBorders>
              <w:top w:val="nil"/>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IJV</w:t>
            </w:r>
          </w:p>
        </w:tc>
        <w:tc>
          <w:tcPr>
            <w:tcW w:w="1875" w:type="dxa"/>
            <w:tcBorders>
              <w:top w:val="nil"/>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0.03[0.01-0.13]</w:t>
            </w:r>
            <w:r>
              <w:rPr>
                <w:rFonts w:ascii="Times New Roman" w:eastAsia="Times New Roman" w:hAnsi="Times New Roman" w:cs="Times New Roman"/>
                <w:color w:val="000000"/>
                <w:sz w:val="20"/>
                <w:szCs w:val="20"/>
              </w:rPr>
              <w:t>c</w:t>
            </w:r>
          </w:p>
        </w:tc>
        <w:tc>
          <w:tcPr>
            <w:tcW w:w="1701" w:type="dxa"/>
            <w:tcBorders>
              <w:top w:val="nil"/>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0.03[0.01-0.08]</w:t>
            </w:r>
          </w:p>
        </w:tc>
        <w:tc>
          <w:tcPr>
            <w:tcW w:w="1701" w:type="dxa"/>
            <w:tcBorders>
              <w:top w:val="nil"/>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0.02[0-0.1]</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r>
      <w:tr w:rsidR="00D04F07" w:rsidRPr="00B95300" w:rsidTr="005500ED">
        <w:trPr>
          <w:trHeight w:val="300"/>
        </w:trPr>
        <w:tc>
          <w:tcPr>
            <w:tcW w:w="709" w:type="dxa"/>
            <w:vMerge/>
            <w:tcBorders>
              <w:top w:val="nil"/>
              <w:left w:val="nil"/>
              <w:bottom w:val="nil"/>
              <w:right w:val="nil"/>
            </w:tcBorders>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p>
        </w:tc>
        <w:tc>
          <w:tcPr>
            <w:tcW w:w="960" w:type="dxa"/>
            <w:tcBorders>
              <w:top w:val="nil"/>
              <w:left w:val="nil"/>
              <w:bottom w:val="nil"/>
              <w:right w:val="nil"/>
            </w:tcBorders>
            <w:shd w:val="clear" w:color="auto" w:fill="auto"/>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CSF</w:t>
            </w:r>
          </w:p>
        </w:tc>
        <w:tc>
          <w:tcPr>
            <w:tcW w:w="1875"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0.02[0-0.14]h</w:t>
            </w:r>
          </w:p>
        </w:tc>
        <w:tc>
          <w:tcPr>
            <w:tcW w:w="1701"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0.01[0-0.1]</w:t>
            </w:r>
          </w:p>
        </w:tc>
        <w:tc>
          <w:tcPr>
            <w:tcW w:w="1701" w:type="dxa"/>
            <w:tcBorders>
              <w:top w:val="nil"/>
              <w:left w:val="nil"/>
              <w:bottom w:val="nil"/>
              <w:right w:val="nil"/>
            </w:tcBorders>
            <w:shd w:val="clear" w:color="auto" w:fill="auto"/>
            <w:noWrap/>
            <w:vAlign w:val="bottom"/>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0.01[0-0.11]</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0.440</w:t>
            </w:r>
          </w:p>
        </w:tc>
        <w:tc>
          <w:tcPr>
            <w:tcW w:w="960" w:type="dxa"/>
            <w:tcBorders>
              <w:top w:val="nil"/>
              <w:left w:val="nil"/>
              <w:bottom w:val="nil"/>
              <w:right w:val="nil"/>
            </w:tcBorders>
            <w:shd w:val="clear" w:color="auto" w:fill="auto"/>
            <w:noWrap/>
            <w:vAlign w:val="center"/>
            <w:hideMark/>
          </w:tcPr>
          <w:p w:rsidR="00D04F07" w:rsidRPr="00B95300" w:rsidRDefault="00D04F07" w:rsidP="005500ED">
            <w:pPr>
              <w:spacing w:after="0" w:line="240" w:lineRule="auto"/>
              <w:jc w:val="both"/>
              <w:rPr>
                <w:rFonts w:ascii="Times New Roman" w:eastAsia="Times New Roman" w:hAnsi="Times New Roman" w:cs="Times New Roman"/>
                <w:color w:val="000000"/>
                <w:sz w:val="20"/>
                <w:szCs w:val="20"/>
              </w:rPr>
            </w:pPr>
            <w:r w:rsidRPr="00B95300">
              <w:rPr>
                <w:rFonts w:ascii="Times New Roman" w:eastAsia="Times New Roman" w:hAnsi="Times New Roman" w:cs="Times New Roman"/>
                <w:color w:val="000000"/>
                <w:sz w:val="20"/>
                <w:szCs w:val="20"/>
              </w:rPr>
              <w:t>1</w:t>
            </w:r>
          </w:p>
        </w:tc>
      </w:tr>
    </w:tbl>
    <w:p w:rsidR="00D04F07" w:rsidRDefault="00D04F07" w:rsidP="00D04F07">
      <w:pPr>
        <w:jc w:val="both"/>
        <w:rPr>
          <w:rFonts w:ascii="Times New Roman" w:hAnsi="Times New Roman" w:cs="Times New Roman"/>
        </w:rPr>
      </w:pPr>
    </w:p>
    <w:p w:rsidR="00D04F07" w:rsidRDefault="00D04F07" w:rsidP="00D04F07">
      <w:pPr>
        <w:shd w:val="clear" w:color="auto" w:fill="FFFFFF"/>
        <w:spacing w:before="100" w:beforeAutospacing="1" w:after="100" w:afterAutospacing="1" w:line="480" w:lineRule="auto"/>
        <w:jc w:val="both"/>
        <w:rPr>
          <w:rFonts w:ascii="Times New Roman" w:eastAsia="Times New Roman" w:hAnsi="Times New Roman" w:cs="Times New Roman"/>
          <w:sz w:val="24"/>
          <w:szCs w:val="24"/>
          <w:lang w:val="en-GB" w:eastAsia="en-GB"/>
        </w:rPr>
      </w:pPr>
    </w:p>
    <w:p w:rsidR="00D04F07" w:rsidRDefault="00D04F07" w:rsidP="00D04F07">
      <w:pPr>
        <w:shd w:val="clear" w:color="auto" w:fill="FFFFFF"/>
        <w:spacing w:before="100" w:beforeAutospacing="1" w:after="100" w:afterAutospacing="1" w:line="480" w:lineRule="auto"/>
        <w:jc w:val="both"/>
        <w:rPr>
          <w:rFonts w:ascii="Times New Roman" w:eastAsia="Times New Roman" w:hAnsi="Times New Roman" w:cs="Times New Roman"/>
          <w:sz w:val="24"/>
          <w:szCs w:val="24"/>
          <w:lang w:val="en-GB" w:eastAsia="en-GB"/>
        </w:rPr>
      </w:pPr>
      <w:r>
        <w:rPr>
          <w:rFonts w:ascii="Times New Roman" w:eastAsia="Times New Roman" w:hAnsi="Times New Roman" w:cs="Times New Roman"/>
          <w:noProof/>
          <w:sz w:val="24"/>
          <w:szCs w:val="24"/>
          <w:lang w:val="en-US"/>
        </w:rPr>
        <w:drawing>
          <wp:inline distT="0" distB="0" distL="0" distR="0" wp14:anchorId="5908959F" wp14:editId="3960D4F8">
            <wp:extent cx="3599688" cy="2298192"/>
            <wp:effectExtent l="0" t="0" r="1270" b="698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ementary Figure 1.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99688" cy="2298192"/>
                    </a:xfrm>
                    <a:prstGeom prst="rect">
                      <a:avLst/>
                    </a:prstGeom>
                  </pic:spPr>
                </pic:pic>
              </a:graphicData>
            </a:graphic>
          </wp:inline>
        </w:drawing>
      </w:r>
    </w:p>
    <w:p w:rsidR="00D04F07" w:rsidRDefault="00D04F07" w:rsidP="00D04F07">
      <w:pPr>
        <w:jc w:val="both"/>
        <w:rPr>
          <w:rFonts w:ascii="Times New Roman" w:eastAsia="Times New Roman" w:hAnsi="Times New Roman" w:cs="Times New Roman"/>
          <w:sz w:val="24"/>
          <w:szCs w:val="24"/>
          <w:lang w:val="en-GB" w:eastAsia="en-GB"/>
        </w:rPr>
      </w:pPr>
      <w:r w:rsidRPr="00D97116">
        <w:rPr>
          <w:rFonts w:ascii="Times New Roman" w:hAnsi="Times New Roman" w:cs="Times New Roman"/>
          <w:b/>
          <w:lang w:val="en-US"/>
        </w:rPr>
        <w:t xml:space="preserve">Supplementary Figure 1. </w:t>
      </w:r>
      <w:r>
        <w:rPr>
          <w:rFonts w:ascii="Times New Roman" w:eastAsia="Times New Roman" w:hAnsi="Times New Roman" w:cs="Times New Roman"/>
          <w:sz w:val="24"/>
          <w:szCs w:val="24"/>
          <w:lang w:val="en-GB" w:eastAsia="en-GB"/>
        </w:rPr>
        <w:t>Blood</w:t>
      </w:r>
      <w:r w:rsidRPr="0002495A">
        <w:rPr>
          <w:rFonts w:ascii="Times New Roman" w:eastAsia="Times New Roman" w:hAnsi="Times New Roman" w:cs="Times New Roman"/>
          <w:sz w:val="24"/>
          <w:szCs w:val="24"/>
          <w:lang w:val="en-GB" w:eastAsia="en-GB"/>
        </w:rPr>
        <w:t xml:space="preserve"> </w:t>
      </w:r>
      <w:r>
        <w:rPr>
          <w:rFonts w:ascii="Times New Roman" w:eastAsia="Times New Roman" w:hAnsi="Times New Roman" w:cs="Times New Roman"/>
          <w:sz w:val="24"/>
          <w:szCs w:val="24"/>
          <w:lang w:val="en-GB" w:eastAsia="en-GB"/>
        </w:rPr>
        <w:t xml:space="preserve">(ICA, IJV) </w:t>
      </w:r>
      <w:r w:rsidRPr="0002495A">
        <w:rPr>
          <w:rFonts w:ascii="Times New Roman" w:eastAsia="Times New Roman" w:hAnsi="Times New Roman" w:cs="Times New Roman"/>
          <w:sz w:val="24"/>
          <w:szCs w:val="24"/>
          <w:lang w:val="en-GB" w:eastAsia="en-GB"/>
        </w:rPr>
        <w:t xml:space="preserve">and CSF </w:t>
      </w:r>
      <w:r>
        <w:rPr>
          <w:rFonts w:ascii="Times New Roman" w:eastAsia="Times New Roman" w:hAnsi="Times New Roman" w:cs="Times New Roman"/>
          <w:sz w:val="24"/>
          <w:szCs w:val="24"/>
          <w:lang w:val="en-GB" w:eastAsia="en-GB"/>
        </w:rPr>
        <w:t>flow rates</w:t>
      </w:r>
      <w:r w:rsidRPr="0002495A">
        <w:rPr>
          <w:rFonts w:ascii="Times New Roman" w:eastAsia="Times New Roman" w:hAnsi="Times New Roman" w:cs="Times New Roman"/>
          <w:sz w:val="24"/>
          <w:szCs w:val="24"/>
          <w:lang w:val="en-GB" w:eastAsia="en-GB"/>
        </w:rPr>
        <w:t xml:space="preserve"> sub portion (</w:t>
      </w:r>
      <w:r>
        <w:rPr>
          <w:rFonts w:ascii="Times New Roman" w:eastAsia="Times New Roman" w:hAnsi="Times New Roman" w:cs="Times New Roman"/>
          <w:sz w:val="24"/>
          <w:szCs w:val="24"/>
          <w:lang w:val="en-GB" w:eastAsia="en-GB"/>
        </w:rPr>
        <w:t>about 10 s</w:t>
      </w:r>
      <w:r w:rsidRPr="0002495A">
        <w:rPr>
          <w:rFonts w:ascii="Times New Roman" w:eastAsia="Times New Roman" w:hAnsi="Times New Roman" w:cs="Times New Roman"/>
          <w:sz w:val="24"/>
          <w:szCs w:val="24"/>
          <w:lang w:val="en-GB" w:eastAsia="en-GB"/>
        </w:rPr>
        <w:t>)</w:t>
      </w:r>
      <w:r>
        <w:rPr>
          <w:rFonts w:ascii="Times New Roman" w:eastAsia="Times New Roman" w:hAnsi="Times New Roman" w:cs="Times New Roman"/>
          <w:sz w:val="24"/>
          <w:szCs w:val="24"/>
          <w:lang w:val="en-GB" w:eastAsia="en-GB"/>
        </w:rPr>
        <w:t>.</w:t>
      </w:r>
    </w:p>
    <w:p w:rsidR="00D04F07" w:rsidRDefault="00D04F07" w:rsidP="00D04F07">
      <w:pPr>
        <w:shd w:val="clear" w:color="auto" w:fill="FFFFFF"/>
        <w:spacing w:before="100" w:beforeAutospacing="1" w:after="100" w:afterAutospacing="1" w:line="480" w:lineRule="auto"/>
        <w:jc w:val="both"/>
        <w:rPr>
          <w:rFonts w:ascii="Times New Roman" w:eastAsia="Times New Roman" w:hAnsi="Times New Roman" w:cs="Times New Roman"/>
          <w:sz w:val="24"/>
          <w:szCs w:val="24"/>
          <w:lang w:val="en-US" w:eastAsia="en-GB"/>
        </w:rPr>
      </w:pPr>
    </w:p>
    <w:p w:rsidR="00D04F07" w:rsidRDefault="00D04F07" w:rsidP="00D04F07">
      <w:pPr>
        <w:shd w:val="clear" w:color="auto" w:fill="FFFFFF"/>
        <w:spacing w:before="100" w:beforeAutospacing="1" w:after="100" w:afterAutospacing="1" w:line="480" w:lineRule="auto"/>
        <w:jc w:val="both"/>
        <w:rPr>
          <w:rFonts w:ascii="Times New Roman" w:eastAsia="Times New Roman" w:hAnsi="Times New Roman" w:cs="Times New Roman"/>
          <w:sz w:val="24"/>
          <w:szCs w:val="24"/>
          <w:lang w:val="en-US" w:eastAsia="en-GB"/>
        </w:rPr>
      </w:pPr>
      <w:r>
        <w:rPr>
          <w:rFonts w:ascii="Times New Roman" w:eastAsia="Times New Roman" w:hAnsi="Times New Roman" w:cs="Times New Roman"/>
          <w:noProof/>
          <w:sz w:val="24"/>
          <w:szCs w:val="24"/>
          <w:lang w:val="en-US"/>
        </w:rPr>
        <w:drawing>
          <wp:inline distT="0" distB="0" distL="0" distR="0" wp14:anchorId="546240F9" wp14:editId="586381BF">
            <wp:extent cx="3894141" cy="2160000"/>
            <wp:effectExtent l="0" t="0" r="0" b="0"/>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plementary Figure 2.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94141" cy="2160000"/>
                    </a:xfrm>
                    <a:prstGeom prst="rect">
                      <a:avLst/>
                    </a:prstGeom>
                  </pic:spPr>
                </pic:pic>
              </a:graphicData>
            </a:graphic>
          </wp:inline>
        </w:drawing>
      </w:r>
    </w:p>
    <w:p w:rsidR="00D04F07" w:rsidRPr="00343AE9" w:rsidRDefault="00D04F07" w:rsidP="00D04F07">
      <w:pPr>
        <w:spacing w:line="480" w:lineRule="auto"/>
        <w:jc w:val="both"/>
        <w:rPr>
          <w:rFonts w:ascii="Times New Roman" w:hAnsi="Times New Roman" w:cs="Times New Roman"/>
          <w:lang w:val="en-US"/>
        </w:rPr>
      </w:pPr>
      <w:r w:rsidRPr="00343AE9">
        <w:rPr>
          <w:rFonts w:ascii="Times New Roman" w:hAnsi="Times New Roman" w:cs="Times New Roman"/>
          <w:b/>
          <w:lang w:val="en-US"/>
        </w:rPr>
        <w:lastRenderedPageBreak/>
        <w:t xml:space="preserve">Supplementary Figure 2. </w:t>
      </w:r>
      <w:r w:rsidRPr="00343AE9">
        <w:rPr>
          <w:rFonts w:ascii="Times New Roman" w:hAnsi="Times New Roman" w:cs="Times New Roman"/>
          <w:lang w:val="en-US"/>
        </w:rPr>
        <w:t>Power in the low-frequency band (R), normalized for that in the first high-frequency band (HR1) for Internal Carotid Artery (ICA), Internal Jugular vein (IJV), and cerebrospinal fluid (CSF). The marginal means estimated by the Repeated-Measures Analysis of Variance model (RM-ANOVA) and their standard errors are represented. The kind of respirations (Free – F, Paced Normal – PN and Paced Deep – PD) are compared. All the comparisons among  kinds of breathing are significant (p&lt;0.001).</w:t>
      </w:r>
    </w:p>
    <w:p w:rsidR="00D04F07" w:rsidRDefault="00D04F07" w:rsidP="00D04F07">
      <w:pPr>
        <w:pBdr>
          <w:bottom w:val="single" w:sz="6" w:space="22" w:color="auto"/>
        </w:pBdr>
        <w:shd w:val="clear" w:color="auto" w:fill="FFFFFF"/>
        <w:spacing w:after="100" w:afterAutospacing="1" w:line="480" w:lineRule="auto"/>
        <w:jc w:val="both"/>
        <w:rPr>
          <w:rFonts w:ascii="Times New Roman" w:eastAsia="Times New Roman" w:hAnsi="Times New Roman" w:cs="Times New Roman"/>
          <w:sz w:val="24"/>
          <w:szCs w:val="24"/>
          <w:lang w:val="en-US" w:eastAsia="en-GB"/>
        </w:rPr>
      </w:pPr>
    </w:p>
    <w:p w:rsidR="00D04F07" w:rsidRDefault="00D04F07" w:rsidP="00D04F07">
      <w:pPr>
        <w:pBdr>
          <w:bottom w:val="single" w:sz="6" w:space="22" w:color="auto"/>
        </w:pBdr>
        <w:shd w:val="clear" w:color="auto" w:fill="FFFFFF"/>
        <w:spacing w:before="100" w:beforeAutospacing="1" w:after="100" w:afterAutospacing="1" w:line="480" w:lineRule="auto"/>
        <w:jc w:val="both"/>
        <w:rPr>
          <w:rFonts w:ascii="Times New Roman" w:eastAsia="Times New Roman" w:hAnsi="Times New Roman" w:cs="Times New Roman"/>
          <w:b/>
          <w:sz w:val="24"/>
          <w:szCs w:val="24"/>
          <w:lang w:val="en-US" w:eastAsia="en-GB"/>
        </w:rPr>
      </w:pPr>
      <w:r>
        <w:rPr>
          <w:rFonts w:ascii="Times New Roman" w:eastAsia="Times New Roman" w:hAnsi="Times New Roman" w:cs="Times New Roman"/>
          <w:b/>
          <w:noProof/>
          <w:sz w:val="24"/>
          <w:szCs w:val="24"/>
          <w:lang w:val="en-US"/>
        </w:rPr>
        <w:drawing>
          <wp:inline distT="0" distB="0" distL="0" distR="0" wp14:anchorId="7876146D" wp14:editId="64FA8019">
            <wp:extent cx="4634737" cy="2880000"/>
            <wp:effectExtent l="0" t="0" r="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upplementary Figure 3.tif"/>
                    <pic:cNvPicPr/>
                  </pic:nvPicPr>
                  <pic:blipFill>
                    <a:blip r:embed="rId6">
                      <a:extLst>
                        <a:ext uri="{28A0092B-C50C-407E-A947-70E740481C1C}">
                          <a14:useLocalDpi xmlns:a14="http://schemas.microsoft.com/office/drawing/2010/main" val="0"/>
                        </a:ext>
                      </a:extLst>
                    </a:blip>
                    <a:stretch>
                      <a:fillRect/>
                    </a:stretch>
                  </pic:blipFill>
                  <pic:spPr>
                    <a:xfrm>
                      <a:off x="0" y="0"/>
                      <a:ext cx="4634737" cy="2880000"/>
                    </a:xfrm>
                    <a:prstGeom prst="rect">
                      <a:avLst/>
                    </a:prstGeom>
                  </pic:spPr>
                </pic:pic>
              </a:graphicData>
            </a:graphic>
          </wp:inline>
        </w:drawing>
      </w:r>
    </w:p>
    <w:p w:rsidR="00D04F07" w:rsidRDefault="00D04F07" w:rsidP="00D04F07">
      <w:pPr>
        <w:pBdr>
          <w:bottom w:val="single" w:sz="6" w:space="22" w:color="auto"/>
        </w:pBdr>
        <w:shd w:val="clear" w:color="auto" w:fill="FFFFFF"/>
        <w:spacing w:before="100" w:beforeAutospacing="1" w:after="100" w:afterAutospacing="1" w:line="480" w:lineRule="auto"/>
        <w:jc w:val="both"/>
        <w:rPr>
          <w:rFonts w:ascii="Times New Roman" w:eastAsia="Times New Roman" w:hAnsi="Times New Roman" w:cs="Times New Roman"/>
          <w:sz w:val="24"/>
          <w:szCs w:val="24"/>
          <w:lang w:val="en-US" w:eastAsia="en-GB"/>
        </w:rPr>
      </w:pPr>
      <w:r w:rsidRPr="00343AE9">
        <w:rPr>
          <w:rFonts w:ascii="Times New Roman" w:eastAsia="Times New Roman" w:hAnsi="Times New Roman" w:cs="Times New Roman"/>
          <w:b/>
          <w:sz w:val="24"/>
          <w:szCs w:val="24"/>
          <w:lang w:val="en-US" w:eastAsia="en-GB"/>
        </w:rPr>
        <w:t>Supplementary Figure 3.</w:t>
      </w:r>
      <w:r w:rsidRPr="00343AE9">
        <w:rPr>
          <w:rFonts w:ascii="Times New Roman" w:eastAsia="Times New Roman" w:hAnsi="Times New Roman" w:cs="Times New Roman"/>
          <w:sz w:val="24"/>
          <w:szCs w:val="24"/>
          <w:lang w:val="en-US" w:eastAsia="en-GB"/>
        </w:rPr>
        <w:t xml:space="preserve"> Mean-centered flow volumes (in ml) transported in the inspiratory (Insp) and in the expiratory (Exp) phase, for the Internal Jugular vein (IJV) and cerebrospinal fluid (CSF), separately for the free (F), paced normal (PN), and paced deep (PD) breathing pattern. The marginal means estimated by the ANOVA model and their standard errors are represented. *p=0.008 uncorrected for multiple comparisons.</w:t>
      </w:r>
    </w:p>
    <w:p w:rsidR="00D04F07" w:rsidRDefault="00D04F07" w:rsidP="00D04F07">
      <w:pPr>
        <w:shd w:val="clear" w:color="auto" w:fill="FFFFFF"/>
        <w:spacing w:before="100" w:beforeAutospacing="1" w:after="100" w:afterAutospacing="1" w:line="480" w:lineRule="auto"/>
        <w:jc w:val="both"/>
        <w:rPr>
          <w:rFonts w:ascii="Arial" w:hAnsi="Arial" w:cs="Arial"/>
          <w:color w:val="000000"/>
          <w:lang w:val="en-US"/>
        </w:rPr>
      </w:pPr>
    </w:p>
    <w:p w:rsidR="00D04F07" w:rsidRDefault="00D04F07" w:rsidP="00D04F07">
      <w:pPr>
        <w:shd w:val="clear" w:color="auto" w:fill="FFFFFF"/>
        <w:spacing w:before="100" w:beforeAutospacing="1" w:after="100" w:afterAutospacing="1" w:line="480" w:lineRule="auto"/>
        <w:jc w:val="both"/>
        <w:rPr>
          <w:rFonts w:ascii="Times New Roman" w:eastAsia="Times New Roman" w:hAnsi="Times New Roman" w:cs="Times New Roman"/>
          <w:sz w:val="24"/>
          <w:szCs w:val="24"/>
          <w:lang w:val="en-US" w:eastAsia="en-GB"/>
        </w:rPr>
      </w:pPr>
      <w:bookmarkStart w:id="0" w:name="_GoBack"/>
      <w:r>
        <w:rPr>
          <w:rFonts w:ascii="Times New Roman" w:eastAsia="Times New Roman" w:hAnsi="Times New Roman" w:cs="Times New Roman"/>
          <w:noProof/>
          <w:sz w:val="24"/>
          <w:szCs w:val="24"/>
          <w:lang w:val="en-US"/>
        </w:rPr>
        <w:lastRenderedPageBreak/>
        <w:drawing>
          <wp:inline distT="0" distB="0" distL="0" distR="0" wp14:anchorId="1D2C07B6" wp14:editId="3D308A96">
            <wp:extent cx="6120130" cy="2544445"/>
            <wp:effectExtent l="0" t="0" r="0" b="8255"/>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upplementary Figure 4.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130" cy="2544445"/>
                    </a:xfrm>
                    <a:prstGeom prst="rect">
                      <a:avLst/>
                    </a:prstGeom>
                  </pic:spPr>
                </pic:pic>
              </a:graphicData>
            </a:graphic>
          </wp:inline>
        </w:drawing>
      </w:r>
      <w:bookmarkEnd w:id="0"/>
    </w:p>
    <w:p w:rsidR="00D04F07" w:rsidRPr="00C17009" w:rsidRDefault="00D04F07" w:rsidP="00D04F07">
      <w:pPr>
        <w:spacing w:line="480" w:lineRule="auto"/>
        <w:jc w:val="both"/>
        <w:rPr>
          <w:rFonts w:ascii="Times New Roman" w:hAnsi="Times New Roman" w:cs="Times New Roman"/>
          <w:b/>
          <w:lang w:val="en-US"/>
        </w:rPr>
      </w:pPr>
      <w:r w:rsidRPr="00C17009">
        <w:rPr>
          <w:rFonts w:ascii="Times New Roman" w:hAnsi="Times New Roman" w:cs="Times New Roman"/>
          <w:b/>
          <w:lang w:val="en-US"/>
        </w:rPr>
        <w:t xml:space="preserve">Supplementary Figure 4. </w:t>
      </w:r>
      <w:r w:rsidRPr="00C17009">
        <w:rPr>
          <w:rFonts w:ascii="Times New Roman" w:hAnsi="Times New Roman" w:cs="Times New Roman"/>
          <w:lang w:val="en-US"/>
        </w:rPr>
        <w:t>Internal Carodit Arteries (ICAs) and Internal Jugular vein (IJV) flow rate: transition from free to paced deep respiration.</w:t>
      </w:r>
    </w:p>
    <w:p w:rsidR="00D04F07" w:rsidRPr="00D04F07" w:rsidRDefault="00D04F07"/>
    <w:sectPr w:rsidR="00D04F07" w:rsidRPr="00D04F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F07"/>
    <w:rsid w:val="00755780"/>
    <w:rsid w:val="00D04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5B55F"/>
  <w15:chartTrackingRefBased/>
  <w15:docId w15:val="{5A808942-6921-4FDD-AE30-ED098440B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4F07"/>
    <w:pPr>
      <w:spacing w:after="200" w:line="276" w:lineRule="auto"/>
    </w:pPr>
    <w:rPr>
      <w:lang w:val="it-IT"/>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855</Words>
  <Characters>4875</Characters>
  <Application>Microsoft Office Word</Application>
  <DocSecurity>0</DocSecurity>
  <Lines>40</Lines>
  <Paragraphs>11</Paragraphs>
  <ScaleCrop>false</ScaleCrop>
  <Company>Springer Nature IT</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2022-06-10T14:22:00Z</dcterms:created>
  <dcterms:modified xsi:type="dcterms:W3CDTF">2022-06-10T14:24:00Z</dcterms:modified>
</cp:coreProperties>
</file>