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1C" w:rsidRPr="00C10D97" w:rsidRDefault="00DA711C" w:rsidP="00DA711C">
      <w:pPr>
        <w:tabs>
          <w:tab w:val="left" w:pos="8037"/>
        </w:tabs>
        <w:spacing w:line="480" w:lineRule="auto"/>
        <w:rPr>
          <w:rFonts w:asciiTheme="majorBidi" w:hAnsiTheme="majorBidi" w:cstheme="majorBidi"/>
          <w:b/>
          <w:bCs/>
          <w:color w:val="131413"/>
          <w:lang w:val="en-AU" w:eastAsia="fr-FR"/>
        </w:rPr>
      </w:pPr>
      <w:r w:rsidRPr="006F5179">
        <w:rPr>
          <w:rFonts w:asciiTheme="majorBidi" w:hAnsiTheme="majorBidi" w:cstheme="majorBidi"/>
          <w:b/>
          <w:bCs/>
          <w:color w:val="131413"/>
          <w:lang w:val="en-AU" w:eastAsia="fr-FR"/>
        </w:rPr>
        <w:t xml:space="preserve">Supplemental Figure 1. </w:t>
      </w:r>
      <w:r w:rsidRPr="006F5179">
        <w:rPr>
          <w:rFonts w:asciiTheme="majorBidi" w:hAnsiTheme="majorBidi" w:cstheme="majorBidi"/>
          <w:color w:val="131413"/>
          <w:lang w:val="en-AU" w:eastAsia="fr-FR"/>
        </w:rPr>
        <w:t>Phylogenetic tre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e analysis of Bet v 1 family members of </w:t>
      </w:r>
      <w:r w:rsidRPr="006F5179">
        <w:rPr>
          <w:rFonts w:asciiTheme="majorBidi" w:hAnsiTheme="majorBidi" w:cstheme="majorBidi"/>
          <w:i/>
          <w:iCs/>
          <w:color w:val="131413"/>
          <w:lang w:val="en-AU" w:eastAsia="fr-FR"/>
        </w:rPr>
        <w:t>P. vulgaris</w:t>
      </w:r>
      <w:r>
        <w:rPr>
          <w:rFonts w:asciiTheme="majorBidi" w:hAnsiTheme="majorBidi" w:cstheme="majorBidi"/>
          <w:i/>
          <w:iCs/>
          <w:color w:val="131413"/>
          <w:lang w:val="en-AU" w:eastAsia="fr-FR"/>
        </w:rPr>
        <w:t xml:space="preserve"> 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(Phvul), </w:t>
      </w:r>
      <w:r w:rsidRPr="00EA0566">
        <w:rPr>
          <w:rFonts w:asciiTheme="majorBidi" w:hAnsiTheme="majorBidi" w:cstheme="majorBidi"/>
          <w:i/>
          <w:iCs/>
          <w:color w:val="131413"/>
          <w:lang w:val="en-AU" w:eastAsia="fr-FR"/>
        </w:rPr>
        <w:t>M. truncatula</w:t>
      </w:r>
      <w:r>
        <w:rPr>
          <w:rFonts w:asciiTheme="majorBidi" w:hAnsiTheme="majorBidi" w:cstheme="majorBidi"/>
          <w:i/>
          <w:iCs/>
          <w:color w:val="131413"/>
          <w:lang w:val="en-AU" w:eastAsia="fr-FR"/>
        </w:rPr>
        <w:t xml:space="preserve"> 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(Medtr), </w:t>
      </w:r>
      <w:r w:rsidRPr="00EA0566">
        <w:rPr>
          <w:rFonts w:asciiTheme="majorBidi" w:hAnsiTheme="majorBidi" w:cstheme="majorBidi"/>
          <w:i/>
          <w:iCs/>
          <w:color w:val="131413"/>
          <w:lang w:val="en-AU" w:eastAsia="fr-FR"/>
        </w:rPr>
        <w:t>L. japonicus</w:t>
      </w:r>
      <w:r>
        <w:rPr>
          <w:rFonts w:asciiTheme="majorBidi" w:hAnsiTheme="majorBidi" w:cstheme="majorBidi"/>
          <w:i/>
          <w:iCs/>
          <w:color w:val="131413"/>
          <w:lang w:val="en-AU" w:eastAsia="fr-FR"/>
        </w:rPr>
        <w:t xml:space="preserve"> 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(Lj), </w:t>
      </w:r>
      <w:r w:rsidRPr="00EA0566">
        <w:rPr>
          <w:rFonts w:asciiTheme="majorBidi" w:hAnsiTheme="majorBidi" w:cstheme="majorBidi"/>
          <w:i/>
          <w:iCs/>
          <w:color w:val="131413"/>
          <w:lang w:val="en-AU" w:eastAsia="fr-FR"/>
        </w:rPr>
        <w:t xml:space="preserve">A. </w:t>
      </w:r>
      <w:r w:rsidRPr="00C10D97">
        <w:rPr>
          <w:rFonts w:asciiTheme="majorBidi" w:hAnsiTheme="majorBidi" w:cstheme="majorBidi"/>
          <w:i/>
          <w:iCs/>
          <w:color w:val="131413"/>
          <w:lang w:val="en-AU" w:eastAsia="fr-FR"/>
        </w:rPr>
        <w:t>thaliana</w:t>
      </w:r>
      <w:r>
        <w:rPr>
          <w:rFonts w:asciiTheme="majorBidi" w:hAnsiTheme="majorBidi" w:cstheme="majorBidi"/>
          <w:i/>
          <w:iCs/>
          <w:color w:val="131413"/>
          <w:lang w:val="en-AU" w:eastAsia="fr-FR"/>
        </w:rPr>
        <w:t xml:space="preserve"> </w:t>
      </w:r>
      <w:r>
        <w:rPr>
          <w:rFonts w:asciiTheme="majorBidi" w:hAnsiTheme="majorBidi" w:cstheme="majorBidi"/>
          <w:color w:val="131413"/>
          <w:lang w:val="en-AU" w:eastAsia="fr-FR"/>
        </w:rPr>
        <w:t>(AT)</w:t>
      </w:r>
      <w:r w:rsidRPr="00C10D97">
        <w:rPr>
          <w:rFonts w:asciiTheme="majorBidi" w:hAnsiTheme="majorBidi" w:cstheme="majorBidi"/>
          <w:color w:val="131413"/>
          <w:lang w:val="en-AU" w:eastAsia="fr-FR"/>
        </w:rPr>
        <w:t xml:space="preserve">, </w:t>
      </w:r>
      <w:r w:rsidRPr="00C10D97">
        <w:rPr>
          <w:rFonts w:asciiTheme="majorBidi" w:hAnsiTheme="majorBidi" w:cstheme="majorBidi"/>
          <w:i/>
          <w:iCs/>
          <w:color w:val="131413"/>
          <w:lang w:val="en-AU" w:eastAsia="fr-FR"/>
        </w:rPr>
        <w:t>O. sativa</w:t>
      </w:r>
      <w:r w:rsidRPr="00C10D97">
        <w:rPr>
          <w:rFonts w:asciiTheme="majorBidi" w:hAnsiTheme="majorBidi" w:cstheme="majorBidi"/>
          <w:color w:val="131413"/>
          <w:lang w:val="en-AU" w:eastAsia="fr-FR"/>
        </w:rPr>
        <w:t xml:space="preserve"> 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(LOC Os) </w:t>
      </w:r>
      <w:r w:rsidRPr="00C10D97">
        <w:rPr>
          <w:rFonts w:asciiTheme="majorBidi" w:hAnsiTheme="majorBidi" w:cstheme="majorBidi"/>
          <w:color w:val="131413"/>
          <w:lang w:val="en-AU" w:eastAsia="fr-FR"/>
        </w:rPr>
        <w:t xml:space="preserve">and </w:t>
      </w:r>
      <w:r w:rsidRPr="00C10D97">
        <w:rPr>
          <w:rFonts w:asciiTheme="majorBidi" w:hAnsiTheme="majorBidi" w:cstheme="majorBidi"/>
          <w:i/>
          <w:iCs/>
          <w:color w:val="131413"/>
          <w:lang w:val="en-AU" w:eastAsia="fr-FR"/>
        </w:rPr>
        <w:t>H. vulgare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 (HORVU)</w:t>
      </w:r>
      <w:r w:rsidRPr="00C10D97">
        <w:rPr>
          <w:rFonts w:asciiTheme="majorBidi" w:hAnsiTheme="majorBidi" w:cstheme="majorBidi"/>
          <w:color w:val="131413"/>
          <w:lang w:val="en-AU" w:eastAsia="fr-FR"/>
        </w:rPr>
        <w:t xml:space="preserve">. MEGA </w:t>
      </w:r>
      <w:r>
        <w:rPr>
          <w:rFonts w:asciiTheme="majorBidi" w:hAnsiTheme="majorBidi" w:cstheme="majorBidi"/>
          <w:color w:val="131413"/>
          <w:lang w:val="en-AU" w:eastAsia="fr-FR"/>
        </w:rPr>
        <w:t>11</w:t>
      </w:r>
      <w:r w:rsidRPr="00C10D97">
        <w:rPr>
          <w:rFonts w:asciiTheme="majorBidi" w:hAnsiTheme="majorBidi" w:cstheme="majorBidi"/>
          <w:color w:val="131413"/>
          <w:lang w:val="en-AU" w:eastAsia="fr-FR"/>
        </w:rPr>
        <w:t xml:space="preserve"> was used to construct </w:t>
      </w:r>
      <w:r>
        <w:rPr>
          <w:rFonts w:asciiTheme="majorBidi" w:hAnsiTheme="majorBidi" w:cstheme="majorBidi"/>
          <w:color w:val="131413"/>
          <w:lang w:val="en-AU" w:eastAsia="fr-FR"/>
        </w:rPr>
        <w:t xml:space="preserve">the unrooted phylogenetic tree obtained by </w:t>
      </w:r>
      <w:r w:rsidRPr="00C10D97">
        <w:rPr>
          <w:rFonts w:asciiTheme="majorBidi" w:hAnsiTheme="majorBidi" w:cstheme="majorBidi"/>
          <w:lang w:val="en-AU" w:eastAsia="fr-FR"/>
        </w:rPr>
        <w:t xml:space="preserve">neighbor-joining </w:t>
      </w:r>
      <w:r>
        <w:rPr>
          <w:rFonts w:asciiTheme="majorBidi" w:hAnsiTheme="majorBidi" w:cstheme="majorBidi"/>
          <w:lang w:val="en-AU" w:eastAsia="fr-FR"/>
        </w:rPr>
        <w:t>method (</w:t>
      </w:r>
      <w:r w:rsidRPr="00C10D97">
        <w:rPr>
          <w:rFonts w:asciiTheme="majorBidi" w:hAnsiTheme="majorBidi" w:cstheme="majorBidi"/>
          <w:lang w:val="en-AU" w:eastAsia="fr-FR"/>
        </w:rPr>
        <w:t>1000 bootstrap replicates</w:t>
      </w:r>
      <w:r>
        <w:rPr>
          <w:rFonts w:asciiTheme="majorBidi" w:hAnsiTheme="majorBidi" w:cstheme="majorBidi"/>
          <w:lang w:val="en-AU" w:eastAsia="fr-FR"/>
        </w:rPr>
        <w:t>)</w:t>
      </w:r>
      <w:r w:rsidRPr="00C10D97">
        <w:rPr>
          <w:rFonts w:asciiTheme="majorBidi" w:hAnsiTheme="majorBidi" w:cstheme="majorBidi"/>
          <w:lang w:val="en-AU" w:eastAsia="fr-FR"/>
        </w:rPr>
        <w:t>.</w:t>
      </w:r>
      <w:r w:rsidRPr="001D71C5">
        <w:rPr>
          <w:bCs/>
          <w:lang w:val="en-US"/>
        </w:rPr>
        <w:t xml:space="preserve"> </w:t>
      </w:r>
      <w:r>
        <w:rPr>
          <w:bCs/>
          <w:lang w:val="en-US"/>
        </w:rPr>
        <w:t>These members were classified into three subfamilies I, II and III that were presented by red, green and blue, respectively.</w:t>
      </w:r>
    </w:p>
    <w:p w:rsidR="00DA711C" w:rsidRPr="00F767F2" w:rsidRDefault="00DA711C" w:rsidP="00DA711C">
      <w:pPr>
        <w:tabs>
          <w:tab w:val="left" w:pos="8037"/>
        </w:tabs>
        <w:spacing w:line="480" w:lineRule="auto"/>
        <w:rPr>
          <w:rFonts w:asciiTheme="majorBidi" w:hAnsiTheme="majorBidi" w:cstheme="majorBidi"/>
          <w:b/>
          <w:bCs/>
          <w:color w:val="131413"/>
          <w:lang w:val="en-AU" w:eastAsia="fr-FR"/>
        </w:rPr>
      </w:pPr>
      <w:r w:rsidRPr="006F5179">
        <w:rPr>
          <w:rFonts w:asciiTheme="majorBidi" w:hAnsiTheme="majorBidi" w:cstheme="majorBidi"/>
          <w:b/>
          <w:bCs/>
          <w:color w:val="131413"/>
          <w:lang w:val="en-AU" w:eastAsia="fr-FR"/>
        </w:rPr>
        <w:t xml:space="preserve">Supplemental Figure 2. </w:t>
      </w:r>
      <w:r w:rsidRPr="00F767F2">
        <w:rPr>
          <w:rFonts w:asciiTheme="majorBidi" w:hAnsiTheme="majorBidi" w:cstheme="majorBidi"/>
          <w:lang w:val="en-AU"/>
        </w:rPr>
        <w:t xml:space="preserve">Chromosomal locations of </w:t>
      </w:r>
      <w:r>
        <w:rPr>
          <w:rFonts w:asciiTheme="majorBidi" w:hAnsiTheme="majorBidi" w:cstheme="majorBidi"/>
          <w:lang w:val="en-AU"/>
        </w:rPr>
        <w:t xml:space="preserve">potential </w:t>
      </w:r>
      <w:r w:rsidRPr="007F242C">
        <w:rPr>
          <w:rFonts w:asciiTheme="majorBidi" w:hAnsiTheme="majorBidi" w:cstheme="majorBidi"/>
          <w:i/>
          <w:iCs/>
          <w:lang w:val="en-AU"/>
        </w:rPr>
        <w:t>PvMLP</w:t>
      </w:r>
      <w:r>
        <w:rPr>
          <w:rFonts w:asciiTheme="majorBidi" w:hAnsiTheme="majorBidi" w:cstheme="majorBidi"/>
          <w:lang w:val="en-AU"/>
        </w:rPr>
        <w:t xml:space="preserve"> (green circles), </w:t>
      </w:r>
      <w:r w:rsidRPr="007F242C">
        <w:rPr>
          <w:rFonts w:asciiTheme="majorBidi" w:hAnsiTheme="majorBidi" w:cstheme="majorBidi"/>
          <w:i/>
          <w:iCs/>
          <w:lang w:val="en-AU"/>
        </w:rPr>
        <w:t>PvPBP</w:t>
      </w:r>
      <w:r>
        <w:rPr>
          <w:rFonts w:asciiTheme="majorBidi" w:hAnsiTheme="majorBidi" w:cstheme="majorBidi"/>
          <w:i/>
          <w:iCs/>
          <w:lang w:val="en-AU"/>
        </w:rPr>
        <w:t xml:space="preserve"> </w:t>
      </w:r>
      <w:r w:rsidRPr="00DD3209">
        <w:rPr>
          <w:rFonts w:asciiTheme="majorBidi" w:hAnsiTheme="majorBidi" w:cstheme="majorBidi"/>
          <w:lang w:val="en-AU"/>
        </w:rPr>
        <w:t>and</w:t>
      </w:r>
      <w:r>
        <w:rPr>
          <w:rFonts w:asciiTheme="majorBidi" w:hAnsiTheme="majorBidi" w:cstheme="majorBidi"/>
          <w:lang w:val="en-AU"/>
        </w:rPr>
        <w:t xml:space="preserve"> </w:t>
      </w:r>
      <w:r w:rsidRPr="007F242C">
        <w:rPr>
          <w:rFonts w:asciiTheme="majorBidi" w:hAnsiTheme="majorBidi" w:cstheme="majorBidi"/>
          <w:i/>
          <w:iCs/>
          <w:lang w:val="en-AU"/>
        </w:rPr>
        <w:t>PvNCS</w:t>
      </w:r>
      <w:r>
        <w:rPr>
          <w:rFonts w:asciiTheme="majorBidi" w:hAnsiTheme="majorBidi" w:cstheme="majorBidi"/>
          <w:lang w:val="en-AU"/>
        </w:rPr>
        <w:t xml:space="preserve"> (red circles) and </w:t>
      </w:r>
      <w:r w:rsidRPr="007F242C">
        <w:rPr>
          <w:rFonts w:asciiTheme="majorBidi" w:hAnsiTheme="majorBidi" w:cstheme="majorBidi"/>
          <w:i/>
          <w:iCs/>
          <w:lang w:val="en-AU"/>
        </w:rPr>
        <w:t>PvPR10</w:t>
      </w:r>
      <w:r>
        <w:rPr>
          <w:rFonts w:asciiTheme="majorBidi" w:hAnsiTheme="majorBidi" w:cstheme="majorBidi"/>
          <w:lang w:val="en-AU"/>
        </w:rPr>
        <w:t xml:space="preserve"> (blue circles) genes using </w:t>
      </w:r>
      <w:r>
        <w:rPr>
          <w:bCs/>
          <w:lang w:val="en-US"/>
        </w:rPr>
        <w:t xml:space="preserve">PhenoGram Plot (Wolfe et al. 2013). The gene pair </w:t>
      </w:r>
      <w:r w:rsidRPr="00422B64">
        <w:rPr>
          <w:bCs/>
          <w:i/>
          <w:iCs/>
          <w:lang w:val="en-US"/>
        </w:rPr>
        <w:t>PvPR10-2</w:t>
      </w:r>
      <w:r>
        <w:rPr>
          <w:bCs/>
          <w:i/>
          <w:iCs/>
          <w:lang w:val="en-US"/>
        </w:rPr>
        <w:t xml:space="preserve"> </w:t>
      </w:r>
      <w:r>
        <w:rPr>
          <w:bCs/>
          <w:lang w:val="en-US"/>
        </w:rPr>
        <w:t xml:space="preserve">/ </w:t>
      </w:r>
      <w:r w:rsidRPr="00422B64">
        <w:rPr>
          <w:bCs/>
          <w:i/>
          <w:iCs/>
          <w:lang w:val="en-US"/>
        </w:rPr>
        <w:t>PvPR10-6</w:t>
      </w:r>
      <w:r>
        <w:rPr>
          <w:bCs/>
          <w:i/>
          <w:iCs/>
          <w:lang w:val="en-US"/>
        </w:rPr>
        <w:t xml:space="preserve"> </w:t>
      </w:r>
      <w:r>
        <w:rPr>
          <w:bCs/>
          <w:lang w:val="en-US"/>
        </w:rPr>
        <w:t>produced by</w:t>
      </w:r>
      <w:r w:rsidRPr="00422B64">
        <w:rPr>
          <w:bCs/>
          <w:i/>
          <w:iCs/>
          <w:lang w:val="en-US"/>
        </w:rPr>
        <w:t xml:space="preserve"> </w:t>
      </w:r>
      <w:r>
        <w:rPr>
          <w:bCs/>
          <w:lang w:val="en-US"/>
        </w:rPr>
        <w:t>segmental duplication was presented by blue line. Each gene pair duplicated in tandem was presented by gray rectangles.</w:t>
      </w:r>
    </w:p>
    <w:p w:rsidR="00DA711C" w:rsidRPr="00666559" w:rsidRDefault="00DA711C" w:rsidP="00DA711C">
      <w:pPr>
        <w:tabs>
          <w:tab w:val="left" w:pos="8037"/>
        </w:tabs>
        <w:spacing w:line="480" w:lineRule="auto"/>
        <w:rPr>
          <w:rFonts w:asciiTheme="majorBidi" w:hAnsiTheme="majorBidi" w:cstheme="majorBidi"/>
          <w:b/>
          <w:bCs/>
          <w:color w:val="131413"/>
          <w:lang w:val="en-AU" w:eastAsia="fr-FR"/>
        </w:rPr>
      </w:pPr>
      <w:r w:rsidRPr="001E6092">
        <w:rPr>
          <w:rFonts w:asciiTheme="majorBidi" w:hAnsiTheme="majorBidi" w:cstheme="majorBidi"/>
          <w:b/>
          <w:bCs/>
          <w:color w:val="131413"/>
          <w:lang w:val="en-AU" w:eastAsia="fr-FR"/>
        </w:rPr>
        <w:t>Supplemental Figure 3.</w:t>
      </w:r>
      <w:r>
        <w:rPr>
          <w:rFonts w:asciiTheme="majorBidi" w:hAnsiTheme="majorBidi" w:cstheme="majorBidi"/>
          <w:b/>
          <w:bCs/>
          <w:color w:val="131413"/>
          <w:lang w:val="en-AU" w:eastAsia="fr-FR"/>
        </w:rPr>
        <w:t xml:space="preserve"> </w:t>
      </w:r>
      <w:r w:rsidRPr="00666559">
        <w:rPr>
          <w:rFonts w:asciiTheme="majorBidi" w:hAnsiTheme="majorBidi" w:cstheme="majorBidi"/>
          <w:lang w:val="en-AU" w:eastAsia="fr-FR"/>
        </w:rPr>
        <w:t xml:space="preserve">Synteny analysis of </w:t>
      </w:r>
      <w:r>
        <w:rPr>
          <w:rFonts w:asciiTheme="majorBidi" w:hAnsiTheme="majorBidi" w:cstheme="majorBidi"/>
          <w:lang w:val="en-AU" w:eastAsia="fr-FR"/>
        </w:rPr>
        <w:t>Bet v 1 family members</w:t>
      </w:r>
      <w:r w:rsidRPr="00666559">
        <w:rPr>
          <w:rFonts w:asciiTheme="majorBidi" w:hAnsiTheme="majorBidi" w:cstheme="majorBidi"/>
          <w:lang w:val="en-AU" w:eastAsia="fr-FR"/>
        </w:rPr>
        <w:t xml:space="preserve"> among </w:t>
      </w:r>
      <w:r w:rsidRPr="00666559">
        <w:rPr>
          <w:rFonts w:asciiTheme="majorBidi" w:hAnsiTheme="majorBidi" w:cstheme="majorBidi"/>
          <w:i/>
          <w:iCs/>
          <w:lang w:val="en-AU" w:eastAsia="fr-FR"/>
        </w:rPr>
        <w:t>P. vulgaris</w:t>
      </w:r>
      <w:r>
        <w:rPr>
          <w:rFonts w:asciiTheme="majorBidi" w:hAnsiTheme="majorBidi" w:cstheme="majorBidi"/>
          <w:lang w:val="en-AU" w:eastAsia="fr-FR"/>
        </w:rPr>
        <w:t xml:space="preserve">, </w:t>
      </w:r>
      <w:r w:rsidRPr="00666559">
        <w:rPr>
          <w:rFonts w:asciiTheme="majorBidi" w:hAnsiTheme="majorBidi" w:cstheme="majorBidi"/>
          <w:i/>
          <w:iCs/>
          <w:lang w:val="en-AU" w:eastAsia="fr-FR"/>
        </w:rPr>
        <w:t>L. japonicus</w:t>
      </w:r>
      <w:r>
        <w:rPr>
          <w:rFonts w:asciiTheme="majorBidi" w:hAnsiTheme="majorBidi" w:cstheme="majorBidi"/>
          <w:lang w:val="en-AU" w:eastAsia="fr-FR"/>
        </w:rPr>
        <w:t xml:space="preserve">, </w:t>
      </w:r>
      <w:r w:rsidRPr="00666559">
        <w:rPr>
          <w:rFonts w:asciiTheme="majorBidi" w:hAnsiTheme="majorBidi" w:cstheme="majorBidi"/>
          <w:i/>
          <w:iCs/>
          <w:lang w:val="en-AU" w:eastAsia="fr-FR"/>
        </w:rPr>
        <w:t xml:space="preserve">M. truncatula </w:t>
      </w:r>
      <w:r>
        <w:rPr>
          <w:rFonts w:asciiTheme="majorBidi" w:hAnsiTheme="majorBidi" w:cstheme="majorBidi"/>
          <w:lang w:val="en-AU" w:eastAsia="fr-FR"/>
        </w:rPr>
        <w:t xml:space="preserve">and </w:t>
      </w:r>
      <w:r w:rsidRPr="00666559">
        <w:rPr>
          <w:rFonts w:asciiTheme="majorBidi" w:hAnsiTheme="majorBidi" w:cstheme="majorBidi"/>
          <w:i/>
          <w:iCs/>
          <w:lang w:val="en-AU" w:eastAsia="fr-FR"/>
        </w:rPr>
        <w:t>A. thaliana</w:t>
      </w:r>
      <w:r w:rsidRPr="00666559">
        <w:rPr>
          <w:rFonts w:asciiTheme="majorBidi" w:hAnsiTheme="majorBidi" w:cstheme="majorBidi"/>
          <w:lang w:val="en-AU" w:eastAsia="fr-FR"/>
        </w:rPr>
        <w:t xml:space="preserve"> genomes</w:t>
      </w:r>
      <w:r>
        <w:rPr>
          <w:rFonts w:asciiTheme="majorBidi" w:hAnsiTheme="majorBidi" w:cstheme="majorBidi"/>
          <w:lang w:val="en-AU" w:eastAsia="fr-FR"/>
        </w:rPr>
        <w:t xml:space="preserve"> performed</w:t>
      </w:r>
      <w:r>
        <w:rPr>
          <w:bCs/>
          <w:lang w:val="en-US"/>
        </w:rPr>
        <w:t xml:space="preserve"> by the Circoletto </w:t>
      </w:r>
      <w:r w:rsidRPr="00B016C8">
        <w:rPr>
          <w:rFonts w:asciiTheme="majorBidi" w:hAnsiTheme="majorBidi" w:cstheme="majorBidi"/>
          <w:bCs/>
          <w:lang w:val="en-US"/>
        </w:rPr>
        <w:t xml:space="preserve">tool </w:t>
      </w:r>
      <w:r>
        <w:rPr>
          <w:rFonts w:asciiTheme="majorBidi" w:hAnsiTheme="majorBidi" w:cstheme="majorBidi"/>
          <w:bCs/>
          <w:lang w:val="en-US"/>
        </w:rPr>
        <w:t>(Darzentas 2010)</w:t>
      </w:r>
      <w:r w:rsidRPr="00B016C8">
        <w:rPr>
          <w:rFonts w:asciiTheme="majorBidi" w:hAnsiTheme="majorBidi" w:cstheme="majorBidi"/>
          <w:color w:val="000000"/>
          <w:lang w:val="en-AU" w:eastAsia="fr-FR"/>
        </w:rPr>
        <w:t>.</w:t>
      </w:r>
      <w:r>
        <w:rPr>
          <w:rFonts w:asciiTheme="majorBidi" w:hAnsiTheme="majorBidi" w:cstheme="majorBidi"/>
          <w:color w:val="000000"/>
          <w:lang w:val="en-AU" w:eastAsia="fr-FR"/>
        </w:rPr>
        <w:t xml:space="preserve"> </w:t>
      </w:r>
    </w:p>
    <w:p w:rsidR="00DA711C" w:rsidRPr="008C0BF8" w:rsidRDefault="00DA711C" w:rsidP="00DA711C">
      <w:pPr>
        <w:tabs>
          <w:tab w:val="left" w:pos="8037"/>
        </w:tabs>
        <w:spacing w:line="480" w:lineRule="auto"/>
        <w:rPr>
          <w:b/>
          <w:bCs/>
          <w:lang w:val="en-AU"/>
        </w:rPr>
      </w:pPr>
      <w:r w:rsidRPr="008C0BF8">
        <w:rPr>
          <w:b/>
          <w:bCs/>
          <w:lang w:val="en-AU"/>
        </w:rPr>
        <w:t xml:space="preserve">Supplemental Figure 4. </w:t>
      </w:r>
      <w:r w:rsidRPr="004972D2">
        <w:rPr>
          <w:lang w:val="en-AU"/>
        </w:rPr>
        <w:t xml:space="preserve">Multiple alignment of </w:t>
      </w:r>
      <w:r>
        <w:rPr>
          <w:lang w:val="en-AU"/>
        </w:rPr>
        <w:t xml:space="preserve">a part of </w:t>
      </w:r>
      <w:r w:rsidRPr="004972D2">
        <w:rPr>
          <w:lang w:val="en-AU"/>
        </w:rPr>
        <w:t xml:space="preserve">amino acids sequences of subfamily I </w:t>
      </w:r>
      <w:r>
        <w:rPr>
          <w:lang w:val="en-AU"/>
        </w:rPr>
        <w:t xml:space="preserve">(motif 1) </w:t>
      </w:r>
      <w:r w:rsidRPr="004972D2">
        <w:rPr>
          <w:lang w:val="en-AU"/>
        </w:rPr>
        <w:t xml:space="preserve">and members of subfamilies II and III </w:t>
      </w:r>
      <w:r>
        <w:rPr>
          <w:lang w:val="en-AU"/>
        </w:rPr>
        <w:t>(motif 5)</w:t>
      </w:r>
      <w:r w:rsidRPr="004972D2">
        <w:rPr>
          <w:lang w:val="en-AU"/>
        </w:rPr>
        <w:t>, using ClustalW</w:t>
      </w:r>
      <w:r>
        <w:rPr>
          <w:lang w:val="en-AU"/>
        </w:rPr>
        <w:t xml:space="preserve">, to show the conservation of the glycine-rich loop motif in the motif 5 </w:t>
      </w:r>
      <w:r w:rsidRPr="00F52A43">
        <w:rPr>
          <w:rFonts w:asciiTheme="majorBidi" w:hAnsiTheme="majorBidi" w:cstheme="majorBidi"/>
          <w:lang w:val="en-AU" w:eastAsia="fr-FR"/>
        </w:rPr>
        <w:t>(</w:t>
      </w:r>
      <w:r>
        <w:rPr>
          <w:rFonts w:asciiTheme="majorBidi" w:hAnsiTheme="majorBidi" w:cstheme="majorBidi"/>
          <w:lang w:val="en-AU" w:eastAsia="fr-FR"/>
        </w:rPr>
        <w:t>red rectangle</w:t>
      </w:r>
      <w:r w:rsidRPr="00F52A43">
        <w:rPr>
          <w:rFonts w:asciiTheme="majorBidi" w:hAnsiTheme="majorBidi" w:cstheme="majorBidi"/>
          <w:lang w:val="en-AU" w:eastAsia="fr-FR"/>
        </w:rPr>
        <w:t>)</w:t>
      </w:r>
      <w:r>
        <w:rPr>
          <w:rFonts w:asciiTheme="majorBidi" w:hAnsiTheme="majorBidi" w:cstheme="majorBidi"/>
          <w:lang w:val="en-AU" w:eastAsia="fr-FR"/>
        </w:rPr>
        <w:t>.</w:t>
      </w:r>
    </w:p>
    <w:p w:rsidR="00000F57" w:rsidRDefault="00DA711C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1C"/>
    <w:rsid w:val="0007695B"/>
    <w:rsid w:val="005615C6"/>
    <w:rsid w:val="005E078B"/>
    <w:rsid w:val="007D4061"/>
    <w:rsid w:val="008B4EED"/>
    <w:rsid w:val="00B03778"/>
    <w:rsid w:val="00CD1A17"/>
    <w:rsid w:val="00DA711C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3C042-D827-4C6D-9630-014CBBB8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Springer Nature IT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2022-08-16T05:55:00Z</dcterms:created>
  <dcterms:modified xsi:type="dcterms:W3CDTF">2022-08-16T05:55:00Z</dcterms:modified>
</cp:coreProperties>
</file>