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F614F6" w14:textId="69158B30" w:rsidR="005A62FF" w:rsidRPr="005A62FF" w:rsidRDefault="00C95BDD" w:rsidP="0037118A">
      <w:pPr>
        <w:spacing w:line="48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Additional</w:t>
      </w:r>
      <w:r w:rsidRPr="005A62F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C0A5E">
        <w:rPr>
          <w:rFonts w:ascii="Times New Roman" w:hAnsi="Times New Roman" w:cs="Times New Roman"/>
          <w:b/>
          <w:sz w:val="28"/>
          <w:szCs w:val="28"/>
        </w:rPr>
        <w:t>file 1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3C0A5E" w:rsidRPr="003C0A5E">
        <w:rPr>
          <w:rFonts w:ascii="Times New Roman" w:hAnsi="Times New Roman" w:cs="Times New Roman"/>
          <w:b/>
          <w:sz w:val="28"/>
          <w:szCs w:val="28"/>
        </w:rPr>
        <w:t>Supplementary</w:t>
      </w:r>
      <w:r w:rsidR="003C0A5E" w:rsidRPr="003C0A5E" w:rsidDel="003C0A5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C0A5E">
        <w:rPr>
          <w:rFonts w:ascii="Times New Roman" w:hAnsi="Times New Roman" w:cs="Times New Roman"/>
          <w:b/>
          <w:sz w:val="28"/>
          <w:szCs w:val="28"/>
        </w:rPr>
        <w:t>Figures</w:t>
      </w:r>
    </w:p>
    <w:p w14:paraId="346B8067" w14:textId="77777777" w:rsidR="005A62FF" w:rsidRPr="00C168C1" w:rsidRDefault="005A62FF" w:rsidP="0037118A">
      <w:pPr>
        <w:spacing w:line="48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C08FF25" w14:textId="4AF318AE" w:rsidR="003C0A5E" w:rsidRDefault="003C0A5E" w:rsidP="0037118A">
      <w:pPr>
        <w:keepNext/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806BFC">
        <w:rPr>
          <w:rFonts w:ascii="Times New Roman" w:hAnsi="Times New Roman" w:cs="Times New Roman"/>
          <w:b/>
          <w:bCs/>
          <w:color w:val="000000" w:themeColor="text1"/>
        </w:rPr>
        <w:t>Figure</w:t>
      </w:r>
      <w:r w:rsidRPr="006D3BE7"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</w:rPr>
        <w:t>S</w:t>
      </w:r>
      <w:r w:rsidRPr="54505581">
        <w:rPr>
          <w:rFonts w:ascii="Times New Roman" w:hAnsi="Times New Roman" w:cs="Times New Roman"/>
          <w:b/>
          <w:bCs/>
          <w:i/>
          <w:iCs/>
          <w:color w:val="000000" w:themeColor="text1"/>
        </w:rPr>
        <w:fldChar w:fldCharType="begin"/>
      </w:r>
      <w:r w:rsidRPr="54505581">
        <w:rPr>
          <w:rFonts w:ascii="Times New Roman" w:hAnsi="Times New Roman" w:cs="Times New Roman"/>
          <w:b/>
          <w:bCs/>
          <w:color w:val="000000" w:themeColor="text1"/>
        </w:rPr>
        <w:instrText xml:space="preserve"> SEQ Figure \* ARABIC </w:instrText>
      </w:r>
      <w:r w:rsidRPr="54505581">
        <w:rPr>
          <w:rFonts w:ascii="Times New Roman" w:hAnsi="Times New Roman" w:cs="Times New Roman"/>
          <w:b/>
          <w:bCs/>
          <w:i/>
          <w:iCs/>
          <w:color w:val="000000" w:themeColor="text1"/>
        </w:rPr>
        <w:fldChar w:fldCharType="separate"/>
      </w:r>
      <w:r w:rsidRPr="54505581">
        <w:rPr>
          <w:rFonts w:ascii="Times New Roman" w:hAnsi="Times New Roman" w:cs="Times New Roman"/>
          <w:b/>
          <w:bCs/>
          <w:noProof/>
          <w:color w:val="000000" w:themeColor="text1"/>
        </w:rPr>
        <w:t>1</w:t>
      </w:r>
      <w:r w:rsidRPr="54505581">
        <w:rPr>
          <w:rFonts w:ascii="Times New Roman" w:hAnsi="Times New Roman" w:cs="Times New Roman"/>
          <w:b/>
          <w:bCs/>
          <w:i/>
          <w:iCs/>
          <w:color w:val="000000" w:themeColor="text1"/>
        </w:rPr>
        <w:fldChar w:fldCharType="end"/>
      </w:r>
      <w:r>
        <w:rPr>
          <w:rFonts w:ascii="Times New Roman" w:hAnsi="Times New Roman" w:cs="Times New Roman"/>
          <w:b/>
          <w:bCs/>
          <w:color w:val="000000" w:themeColor="text1"/>
        </w:rPr>
        <w:t>:</w:t>
      </w:r>
      <w:r w:rsidRPr="54505581">
        <w:rPr>
          <w:rFonts w:ascii="Times New Roman" w:hAnsi="Times New Roman" w:cs="Times New Roman"/>
          <w:b/>
          <w:bCs/>
          <w:color w:val="000000" w:themeColor="text1"/>
        </w:rPr>
        <w:t xml:space="preserve"> Normalized </w:t>
      </w:r>
      <w:r>
        <w:rPr>
          <w:rFonts w:ascii="Times New Roman" w:hAnsi="Times New Roman" w:cs="Times New Roman"/>
          <w:b/>
          <w:bCs/>
          <w:color w:val="000000" w:themeColor="text1"/>
        </w:rPr>
        <w:t>t</w:t>
      </w:r>
      <w:r w:rsidRPr="54505581">
        <w:rPr>
          <w:rFonts w:ascii="Times New Roman" w:hAnsi="Times New Roman" w:cs="Times New Roman"/>
          <w:b/>
          <w:bCs/>
          <w:color w:val="000000" w:themeColor="text1"/>
        </w:rPr>
        <w:t xml:space="preserve">otal RNA yield, </w:t>
      </w:r>
      <w:proofErr w:type="gramStart"/>
      <w:r w:rsidRPr="54505581">
        <w:rPr>
          <w:rFonts w:ascii="Times New Roman" w:hAnsi="Times New Roman" w:cs="Times New Roman"/>
          <w:b/>
          <w:bCs/>
          <w:color w:val="000000" w:themeColor="text1"/>
        </w:rPr>
        <w:t>integrity</w:t>
      </w:r>
      <w:proofErr w:type="gramEnd"/>
      <w:r w:rsidRPr="54505581">
        <w:rPr>
          <w:rFonts w:ascii="Times New Roman" w:hAnsi="Times New Roman" w:cs="Times New Roman"/>
          <w:b/>
          <w:bCs/>
          <w:color w:val="000000" w:themeColor="text1"/>
        </w:rPr>
        <w:t xml:space="preserve"> and purity comparisons between RNA isolation protocols (silica-membrane column-based vs. magnetic beads) for </w:t>
      </w:r>
      <w:proofErr w:type="spellStart"/>
      <w:r w:rsidRPr="54505581">
        <w:rPr>
          <w:rFonts w:ascii="Times New Roman" w:hAnsi="Times New Roman" w:cs="Times New Roman"/>
          <w:b/>
          <w:bCs/>
          <w:color w:val="000000" w:themeColor="text1"/>
        </w:rPr>
        <w:t>PAXgene</w:t>
      </w:r>
      <w:proofErr w:type="spellEnd"/>
      <w:r w:rsidRPr="54505581"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 xml:space="preserve">® </w:t>
      </w:r>
      <w:r w:rsidRPr="54505581">
        <w:rPr>
          <w:rFonts w:ascii="Times New Roman" w:hAnsi="Times New Roman" w:cs="Times New Roman"/>
          <w:b/>
          <w:bCs/>
          <w:color w:val="000000" w:themeColor="text1"/>
        </w:rPr>
        <w:t>and Tempus</w:t>
      </w:r>
      <w:r w:rsidRPr="54505581"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™</w:t>
      </w:r>
      <w:r w:rsidRPr="54505581">
        <w:rPr>
          <w:rFonts w:ascii="Times New Roman" w:hAnsi="Times New Roman" w:cs="Times New Roman"/>
          <w:b/>
          <w:bCs/>
          <w:color w:val="000000" w:themeColor="text1"/>
        </w:rPr>
        <w:t xml:space="preserve"> Blood RNA tubes. </w:t>
      </w:r>
      <w:r w:rsidRPr="54505581">
        <w:rPr>
          <w:rFonts w:ascii="Times New Roman" w:hAnsi="Times New Roman" w:cs="Times New Roman"/>
          <w:color w:val="000000" w:themeColor="text1"/>
        </w:rPr>
        <w:t>Bar graphs showing total RNA yields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AC2AFE">
        <w:rPr>
          <w:rFonts w:ascii="Times New Roman" w:hAnsi="Times New Roman" w:cs="Times New Roman"/>
          <w:color w:val="000000" w:themeColor="text1"/>
        </w:rPr>
        <w:t>normalized to input whole blood volume</w:t>
      </w:r>
      <w:r w:rsidRPr="54505581">
        <w:rPr>
          <w:rFonts w:ascii="Times New Roman" w:hAnsi="Times New Roman" w:cs="Times New Roman"/>
          <w:color w:val="000000" w:themeColor="text1"/>
        </w:rPr>
        <w:t>, RNA Integrity Number (RIN) and</w:t>
      </w:r>
      <w:r w:rsidRPr="54505581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54505581">
        <w:rPr>
          <w:rFonts w:ascii="Times New Roman" w:hAnsi="Times New Roman" w:cs="Times New Roman"/>
          <w:color w:val="000000" w:themeColor="text1"/>
        </w:rPr>
        <w:t>OD 260/280 ratios for silica-membrane column-based and magnetic beads based (</w:t>
      </w:r>
      <w:proofErr w:type="spellStart"/>
      <w:r w:rsidRPr="54505581">
        <w:rPr>
          <w:rFonts w:ascii="Times New Roman" w:hAnsi="Times New Roman" w:cs="Times New Roman"/>
          <w:color w:val="000000" w:themeColor="text1"/>
        </w:rPr>
        <w:t>MagMAX</w:t>
      </w:r>
      <w:proofErr w:type="spellEnd"/>
      <w:r w:rsidRPr="54505581">
        <w:rPr>
          <w:rFonts w:ascii="Times New Roman" w:hAnsi="Times New Roman" w:cs="Times New Roman"/>
          <w:color w:val="000000" w:themeColor="text1"/>
          <w:vertAlign w:val="superscript"/>
        </w:rPr>
        <w:t>™</w:t>
      </w:r>
      <w:r w:rsidRPr="54505581">
        <w:rPr>
          <w:rFonts w:ascii="Times New Roman" w:hAnsi="Times New Roman" w:cs="Times New Roman"/>
          <w:color w:val="000000" w:themeColor="text1"/>
        </w:rPr>
        <w:t xml:space="preserve">) RNA purification protocols compatible with </w:t>
      </w:r>
      <w:proofErr w:type="spellStart"/>
      <w:r w:rsidRPr="54505581">
        <w:rPr>
          <w:rFonts w:ascii="Times New Roman" w:hAnsi="Times New Roman" w:cs="Times New Roman"/>
          <w:color w:val="000000" w:themeColor="text1"/>
        </w:rPr>
        <w:t>PAXgene</w:t>
      </w:r>
      <w:proofErr w:type="spellEnd"/>
      <w:r w:rsidRPr="54505581">
        <w:rPr>
          <w:rFonts w:ascii="Times New Roman" w:hAnsi="Times New Roman" w:cs="Times New Roman"/>
          <w:color w:val="000000" w:themeColor="text1"/>
          <w:vertAlign w:val="superscript"/>
        </w:rPr>
        <w:t>®</w:t>
      </w:r>
      <w:r w:rsidRPr="54505581">
        <w:rPr>
          <w:rFonts w:ascii="Times New Roman" w:hAnsi="Times New Roman" w:cs="Times New Roman"/>
          <w:color w:val="000000" w:themeColor="text1"/>
        </w:rPr>
        <w:t xml:space="preserve"> and Tempus</w:t>
      </w:r>
      <w:r w:rsidRPr="54505581">
        <w:rPr>
          <w:rFonts w:ascii="Times New Roman" w:hAnsi="Times New Roman" w:cs="Times New Roman"/>
          <w:color w:val="000000" w:themeColor="text1"/>
          <w:vertAlign w:val="superscript"/>
        </w:rPr>
        <w:t>™</w:t>
      </w:r>
      <w:r w:rsidRPr="54505581">
        <w:rPr>
          <w:rFonts w:ascii="Times New Roman" w:hAnsi="Times New Roman" w:cs="Times New Roman"/>
          <w:color w:val="000000" w:themeColor="text1"/>
        </w:rPr>
        <w:t xml:space="preserve"> blood collection tubes (matched n=3). Each bar represents the mean value, and the error bar indicates ± SE. Data from</w:t>
      </w:r>
      <w:r w:rsidRPr="54505581">
        <w:rPr>
          <w:rFonts w:ascii="Times New Roman" w:eastAsia="Times New Roman" w:hAnsi="Times New Roman" w:cs="Times New Roman"/>
          <w:color w:val="000000" w:themeColor="text1"/>
        </w:rPr>
        <w:t xml:space="preserve"> only two subjects were available on </w:t>
      </w:r>
      <w:r>
        <w:rPr>
          <w:rFonts w:ascii="Times New Roman" w:eastAsia="Times New Roman" w:hAnsi="Times New Roman" w:cs="Times New Roman"/>
          <w:color w:val="000000" w:themeColor="text1"/>
        </w:rPr>
        <w:t xml:space="preserve">the </w:t>
      </w:r>
      <w:r w:rsidRPr="54505581">
        <w:rPr>
          <w:rFonts w:ascii="Times New Roman" w:hAnsi="Times New Roman" w:cs="Times New Roman"/>
          <w:color w:val="000000" w:themeColor="text1"/>
        </w:rPr>
        <w:t>Tempus</w:t>
      </w:r>
      <w:r w:rsidRPr="54505581">
        <w:rPr>
          <w:rFonts w:ascii="Times New Roman" w:hAnsi="Times New Roman" w:cs="Times New Roman"/>
          <w:color w:val="000000" w:themeColor="text1"/>
          <w:vertAlign w:val="superscript"/>
        </w:rPr>
        <w:t>™</w:t>
      </w:r>
      <w:r w:rsidRPr="54505581">
        <w:rPr>
          <w:rFonts w:ascii="Times New Roman" w:eastAsia="Times New Roman" w:hAnsi="Times New Roman" w:cs="Times New Roman"/>
          <w:color w:val="000000" w:themeColor="text1"/>
        </w:rPr>
        <w:t xml:space="preserve"> collection system due</w:t>
      </w:r>
      <w:r w:rsidRPr="54505581">
        <w:rPr>
          <w:rFonts w:ascii="Times New Roman" w:hAnsi="Times New Roman" w:cs="Times New Roman"/>
          <w:color w:val="000000" w:themeColor="text1"/>
        </w:rPr>
        <w:t xml:space="preserve"> to </w:t>
      </w:r>
      <w:r>
        <w:rPr>
          <w:rFonts w:ascii="Times New Roman" w:hAnsi="Times New Roman" w:cs="Times New Roman"/>
          <w:color w:val="000000" w:themeColor="text1"/>
        </w:rPr>
        <w:t>the unavailability of</w:t>
      </w:r>
      <w:r w:rsidRPr="00C97868">
        <w:rPr>
          <w:rFonts w:ascii="Times New Roman" w:hAnsi="Times New Roman" w:cs="Times New Roman"/>
          <w:color w:val="000000" w:themeColor="text1"/>
        </w:rPr>
        <w:t xml:space="preserve"> Tempus</w:t>
      </w:r>
      <w:r w:rsidRPr="00C97868">
        <w:rPr>
          <w:rFonts w:ascii="Times New Roman" w:hAnsi="Times New Roman" w:cs="Times New Roman"/>
          <w:color w:val="000000" w:themeColor="text1"/>
          <w:vertAlign w:val="superscript"/>
        </w:rPr>
        <w:t>™</w:t>
      </w:r>
      <w:r w:rsidRPr="00C97868">
        <w:rPr>
          <w:rFonts w:ascii="Times New Roman" w:hAnsi="Times New Roman" w:cs="Times New Roman"/>
          <w:color w:val="000000" w:themeColor="text1"/>
        </w:rPr>
        <w:t xml:space="preserve"> blood collection tubes of the same batch</w:t>
      </w:r>
      <w:r w:rsidRPr="54505581">
        <w:rPr>
          <w:rFonts w:ascii="Times New Roman" w:hAnsi="Times New Roman" w:cs="Times New Roman"/>
          <w:color w:val="000000" w:themeColor="text1"/>
        </w:rPr>
        <w:t>. The dashed line</w:t>
      </w:r>
      <w:r w:rsidR="00776D35">
        <w:rPr>
          <w:rFonts w:ascii="Times New Roman" w:hAnsi="Times New Roman" w:cs="Times New Roman"/>
          <w:color w:val="000000" w:themeColor="text1"/>
        </w:rPr>
        <w:t xml:space="preserve">s at </w:t>
      </w:r>
      <w:r w:rsidRPr="54505581">
        <w:rPr>
          <w:rFonts w:ascii="Times New Roman" w:hAnsi="Times New Roman" w:cs="Times New Roman"/>
          <w:color w:val="000000" w:themeColor="text1"/>
        </w:rPr>
        <w:t xml:space="preserve">OD260/A280 ratio </w:t>
      </w:r>
      <w:r w:rsidR="00776D35">
        <w:rPr>
          <w:rFonts w:ascii="Times New Roman" w:hAnsi="Times New Roman" w:cs="Times New Roman"/>
          <w:color w:val="000000" w:themeColor="text1"/>
        </w:rPr>
        <w:t>&gt;</w:t>
      </w:r>
      <w:r w:rsidRPr="54505581">
        <w:rPr>
          <w:rFonts w:ascii="Times New Roman" w:hAnsi="Times New Roman" w:cs="Times New Roman"/>
          <w:color w:val="000000" w:themeColor="text1"/>
        </w:rPr>
        <w:t>2.0 represents the generally accepted range for high-quality RNA.</w:t>
      </w:r>
      <w:r>
        <w:t xml:space="preserve"> </w:t>
      </w:r>
      <w:r w:rsidRPr="54505581">
        <w:rPr>
          <w:rFonts w:ascii="Times New Roman" w:hAnsi="Times New Roman" w:cs="Times New Roman"/>
          <w:color w:val="000000" w:themeColor="text1"/>
        </w:rPr>
        <w:t>Ns, non-significant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2030ED4F" w14:textId="77777777" w:rsidR="003C0A5E" w:rsidRDefault="003C0A5E" w:rsidP="0037118A">
      <w:pPr>
        <w:keepNext/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00CB263" w14:textId="77777777" w:rsidR="003C0A5E" w:rsidRDefault="003C0A5E" w:rsidP="0037118A">
      <w:pPr>
        <w:pStyle w:val="Caption"/>
        <w:spacing w:line="480" w:lineRule="auto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Figure</w:t>
      </w:r>
      <w:r w:rsidRPr="00BE725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S2:</w:t>
      </w:r>
      <w:r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Reverse transcription at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F</w:t>
      </w:r>
      <w:r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ull </w:t>
      </w:r>
      <w:r w:rsidRPr="0005338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vs.</w:t>
      </w:r>
      <w:r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Q</w:t>
      </w:r>
      <w:r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uarter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concentration</w:t>
      </w:r>
      <w:r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Pr="00921CE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The graph </w:t>
      </w:r>
      <w:r w:rsidRPr="0005338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depicts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RT-qPCR efficiency at reverse transcription using </w:t>
      </w:r>
      <w:r w:rsidRPr="00921CE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5U (5units/</w:t>
      </w:r>
      <w:proofErr w:type="spellStart"/>
      <w:r w:rsidRPr="00921CE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μL</w:t>
      </w:r>
      <w:proofErr w:type="spellEnd"/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; Quarter</w:t>
      </w:r>
      <w:r w:rsidRPr="00921CE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) reactions compared with 20U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(Full)</w:t>
      </w:r>
      <w:r w:rsidRPr="00921CE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reactions (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manufacturer’s</w:t>
      </w:r>
      <w:r w:rsidRPr="00921CE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recommended protocol)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Pr="00921CE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for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high-quality</w:t>
      </w:r>
      <w:r w:rsidRPr="00921CE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RNA (</w:t>
      </w:r>
      <w:r w:rsidRPr="00F41BCF">
        <w:rPr>
          <w:rFonts w:ascii="Times New Roman" w:hAnsi="Times New Roman" w:cs="Times New Roman"/>
          <w:color w:val="000000" w:themeColor="text1"/>
          <w:sz w:val="24"/>
          <w:szCs w:val="24"/>
        </w:rPr>
        <w:t>i.e</w:t>
      </w:r>
      <w:r w:rsidRPr="00921CE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., freshly extracted) and low-quality RNA (</w:t>
      </w:r>
      <w:r w:rsidRPr="00D440D2">
        <w:rPr>
          <w:rFonts w:ascii="Times New Roman" w:hAnsi="Times New Roman" w:cs="Times New Roman"/>
          <w:color w:val="000000" w:themeColor="text1"/>
          <w:sz w:val="24"/>
          <w:szCs w:val="24"/>
        </w:rPr>
        <w:t>i.e</w:t>
      </w:r>
      <w:r w:rsidRPr="00921CE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., incubated 5 days at 40</w:t>
      </w:r>
      <w:r w:rsidRPr="00921CE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°</w:t>
      </w:r>
      <w:r w:rsidRPr="00921CE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C)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extracted from</w:t>
      </w:r>
      <w:r w:rsidRPr="00921CE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the two RNA stabilization systems (</w:t>
      </w:r>
      <w:proofErr w:type="spellStart"/>
      <w:r w:rsidRPr="00921CE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PAXgene</w:t>
      </w:r>
      <w:proofErr w:type="spellEnd"/>
      <w:r w:rsidRPr="00921CE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®</w:t>
      </w:r>
      <w:r w:rsidRPr="00921CE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and Tempus</w:t>
      </w:r>
      <w:r w:rsidRPr="00921CE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™</w:t>
      </w:r>
      <w:r w:rsidRPr="00921CE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. Unpaired t-test results determined no differences between Full </w:t>
      </w:r>
      <w:r w:rsidRPr="00053382">
        <w:rPr>
          <w:rFonts w:ascii="Times New Roman" w:hAnsi="Times New Roman" w:cs="Times New Roman"/>
          <w:color w:val="000000" w:themeColor="text1"/>
          <w:sz w:val="24"/>
          <w:szCs w:val="24"/>
        </w:rPr>
        <w:t>vs.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Quarter reaction concentrations on Fresh extractions while Full strength of RT was significantly efficient compared to the Quarter concentration of RT when evaluating </w:t>
      </w:r>
      <w:r w:rsidRPr="00921CE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low-quality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,</w:t>
      </w:r>
      <w:r w:rsidRPr="00921CE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degraded </w:t>
      </w:r>
      <w:r w:rsidRPr="00921CE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RNA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. </w:t>
      </w:r>
      <w:r w:rsidRPr="00BB6614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Two-Way ANOVA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analysis indicated a significant interaction between tube type and their condition/RNA quality (Fresh or </w:t>
      </w:r>
      <w:r w:rsidRPr="00921CE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5 days at 40</w:t>
      </w:r>
      <w:r w:rsidRPr="00921CE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°</w:t>
      </w:r>
      <w:r w:rsidRPr="00921CE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C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), indicating </w:t>
      </w:r>
      <w:r w:rsidRPr="00593BC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that the relationships between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Ct value and reverse transcription concentration depend on tube type and RNA quality. </w:t>
      </w:r>
      <w:r w:rsidRPr="00F41BCF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**</w:t>
      </w:r>
      <w:r w:rsidRPr="00CE3CFC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Pr="00CE3CF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&lt; 0.01, </w:t>
      </w:r>
      <w:r w:rsidRPr="00F41BCF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*</w:t>
      </w:r>
      <w:r w:rsidRPr="00CE3CFC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Pr="00CE3CF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&lt; 0.05, ns – non-significant.</w:t>
      </w:r>
    </w:p>
    <w:p w14:paraId="52244CC4" w14:textId="77777777" w:rsidR="003C0A5E" w:rsidRPr="00765458" w:rsidRDefault="003C0A5E" w:rsidP="0037118A">
      <w:pPr>
        <w:spacing w:line="480" w:lineRule="auto"/>
      </w:pPr>
    </w:p>
    <w:p w14:paraId="55A1DC02" w14:textId="77777777" w:rsidR="003C0A5E" w:rsidRDefault="003C0A5E" w:rsidP="0037118A">
      <w:pPr>
        <w:pStyle w:val="Caption"/>
        <w:spacing w:line="48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r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lastRenderedPageBreak/>
        <w:t>Figure</w:t>
      </w:r>
      <w:r w:rsidRPr="00BE725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S3:</w:t>
      </w:r>
      <w:r w:rsidRPr="0005338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Pr="00053382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qPCR inhibitory behaviour at serially diluted (log</w:t>
      </w:r>
      <w:r w:rsidRPr="00053382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vertAlign w:val="subscript"/>
        </w:rPr>
        <w:t>2</w:t>
      </w:r>
      <w:r w:rsidRPr="00053382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dilutions) </w:t>
      </w:r>
      <w:r w:rsidRPr="006A7AD8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total RNA samples measured with SDHA (short primers) and differences between tube types</w:t>
      </w:r>
      <w:r w:rsidRPr="0005338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.</w:t>
      </w:r>
      <w:r w:rsidRPr="00053382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Pr="0005338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Whole blood extracted at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F</w:t>
      </w:r>
      <w:r w:rsidRPr="0005338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resh and Frozen conditions from the two different tube types (</w:t>
      </w:r>
      <w:proofErr w:type="spellStart"/>
      <w:r w:rsidRPr="0005338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PAXgene</w:t>
      </w:r>
      <w:proofErr w:type="spellEnd"/>
      <w:r w:rsidRPr="0005338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®</w:t>
      </w:r>
      <w:r w:rsidRPr="0005338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and Tempus</w:t>
      </w:r>
      <w:r w:rsidRPr="0005338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™</w:t>
      </w:r>
      <w:r w:rsidRPr="0005338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) were tested to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investigate</w:t>
      </w:r>
      <w:r w:rsidRPr="0005338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if there were any lingering inhibitory factors from </w:t>
      </w:r>
      <w:proofErr w:type="spellStart"/>
      <w:r w:rsidRPr="0005338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PAXgene</w:t>
      </w:r>
      <w:proofErr w:type="spellEnd"/>
      <w:r w:rsidRPr="0005338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®</w:t>
      </w:r>
      <w:r w:rsidRPr="0005338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or Tempus</w:t>
      </w:r>
      <w:r w:rsidRPr="0005338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™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tubes</w:t>
      </w:r>
      <w:r w:rsidRPr="0005338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Pr="00053382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A. </w:t>
      </w:r>
      <w:r w:rsidRPr="0005338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Ct results generated at Log-linear amplification-capable sample dilutions exhibit a straight line (beyond the dashed vertical line, at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3</w:t>
      </w:r>
      <w:r w:rsidRPr="0005338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0ng/</w:t>
      </w:r>
      <w:proofErr w:type="spellStart"/>
      <w:r w:rsidRPr="0005338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uL</w:t>
      </w:r>
      <w:proofErr w:type="spellEnd"/>
      <w:r w:rsidRPr="0005338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), while inhibited dilutions form a curved line (before the dashed vertical line, at lower dilutions &gt;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3</w:t>
      </w:r>
      <w:r w:rsidRPr="0005338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0ng/</w:t>
      </w:r>
      <w:proofErr w:type="spellStart"/>
      <w:r w:rsidRPr="0005338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uL</w:t>
      </w:r>
      <w:proofErr w:type="spellEnd"/>
      <w:r w:rsidRPr="0005338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). Tube type-based inhibition would be expected if present data shifted across the x-axis, with inhibitory factors in tubes diluting out each titration, which is not observed here.</w:t>
      </w:r>
    </w:p>
    <w:p w14:paraId="3D822CA4" w14:textId="77777777" w:rsidR="003C0A5E" w:rsidRPr="00765458" w:rsidRDefault="003C0A5E" w:rsidP="0037118A">
      <w:pPr>
        <w:spacing w:line="480" w:lineRule="auto"/>
      </w:pPr>
    </w:p>
    <w:p w14:paraId="45F76958" w14:textId="77777777" w:rsidR="003C0A5E" w:rsidRDefault="003C0A5E" w:rsidP="0037118A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806BFC">
        <w:rPr>
          <w:rFonts w:ascii="Times New Roman" w:hAnsi="Times New Roman" w:cs="Times New Roman"/>
          <w:b/>
          <w:bCs/>
          <w:color w:val="000000" w:themeColor="text1"/>
        </w:rPr>
        <w:t>Figure</w:t>
      </w:r>
      <w:r w:rsidRPr="00BE725C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</w:rPr>
        <w:t>S4:</w:t>
      </w:r>
      <w:r w:rsidRPr="00616025">
        <w:t xml:space="preserve"> </w:t>
      </w:r>
      <w:r w:rsidRPr="00B52A6F">
        <w:rPr>
          <w:rFonts w:ascii="Times New Roman" w:hAnsi="Times New Roman" w:cs="Times New Roman"/>
          <w:b/>
          <w:bCs/>
        </w:rPr>
        <w:t xml:space="preserve">Cycle threshold (Ct) of </w:t>
      </w:r>
      <w:r>
        <w:rPr>
          <w:rFonts w:ascii="Times New Roman" w:hAnsi="Times New Roman" w:cs="Times New Roman"/>
          <w:b/>
          <w:bCs/>
        </w:rPr>
        <w:t xml:space="preserve">the </w:t>
      </w:r>
      <w:r w:rsidRPr="00B52A6F">
        <w:rPr>
          <w:rFonts w:ascii="Times New Roman" w:hAnsi="Times New Roman" w:cs="Times New Roman"/>
          <w:b/>
          <w:bCs/>
        </w:rPr>
        <w:t>housekeeping gene</w:t>
      </w:r>
      <w:r>
        <w:rPr>
          <w:rFonts w:ascii="Times New Roman" w:hAnsi="Times New Roman" w:cs="Times New Roman"/>
          <w:b/>
          <w:bCs/>
        </w:rPr>
        <w:t xml:space="preserve">, </w:t>
      </w:r>
      <w:r w:rsidRPr="00B52A6F">
        <w:rPr>
          <w:rFonts w:ascii="Times New Roman" w:hAnsi="Times New Roman" w:cs="Times New Roman"/>
          <w:b/>
          <w:bCs/>
          <w:i/>
          <w:iCs/>
          <w:color w:val="000000" w:themeColor="text1"/>
        </w:rPr>
        <w:t>SDHA</w:t>
      </w:r>
      <w:r w:rsidRPr="00B52A6F">
        <w:rPr>
          <w:rFonts w:ascii="Times New Roman" w:hAnsi="Times New Roman" w:cs="Times New Roman"/>
          <w:b/>
          <w:bCs/>
        </w:rPr>
        <w:t xml:space="preserve"> assessed for RNA samples extracted</w:t>
      </w:r>
      <w:r>
        <w:rPr>
          <w:rFonts w:ascii="Times New Roman" w:hAnsi="Times New Roman" w:cs="Times New Roman"/>
          <w:b/>
          <w:bCs/>
        </w:rPr>
        <w:t xml:space="preserve"> </w:t>
      </w:r>
      <w:r w:rsidRPr="00B52A6F">
        <w:rPr>
          <w:rFonts w:ascii="Times New Roman" w:hAnsi="Times New Roman" w:cs="Times New Roman"/>
          <w:b/>
          <w:bCs/>
        </w:rPr>
        <w:t xml:space="preserve">from </w:t>
      </w:r>
      <w:proofErr w:type="spellStart"/>
      <w:r w:rsidRPr="00B52A6F">
        <w:rPr>
          <w:rFonts w:ascii="Times New Roman" w:hAnsi="Times New Roman" w:cs="Times New Roman"/>
          <w:b/>
          <w:bCs/>
        </w:rPr>
        <w:t>PAXgene</w:t>
      </w:r>
      <w:proofErr w:type="spellEnd"/>
      <w:r w:rsidRPr="00B52A6F">
        <w:rPr>
          <w:rFonts w:ascii="Times New Roman" w:hAnsi="Times New Roman" w:cs="Times New Roman"/>
          <w:b/>
          <w:bCs/>
          <w:vertAlign w:val="superscript"/>
        </w:rPr>
        <w:t>®</w:t>
      </w:r>
      <w:r w:rsidRPr="00B52A6F">
        <w:rPr>
          <w:rFonts w:ascii="Times New Roman" w:hAnsi="Times New Roman" w:cs="Times New Roman"/>
          <w:b/>
          <w:bCs/>
        </w:rPr>
        <w:t xml:space="preserve"> and Tempus</w:t>
      </w:r>
      <w:r w:rsidRPr="00B52A6F">
        <w:rPr>
          <w:rFonts w:ascii="Times New Roman" w:hAnsi="Times New Roman" w:cs="Times New Roman"/>
          <w:b/>
          <w:bCs/>
          <w:vertAlign w:val="superscript"/>
        </w:rPr>
        <w:t>™</w:t>
      </w:r>
      <w:r w:rsidRPr="00B52A6F">
        <w:rPr>
          <w:rFonts w:ascii="Times New Roman" w:hAnsi="Times New Roman" w:cs="Times New Roman"/>
          <w:color w:val="000000" w:themeColor="text1"/>
        </w:rPr>
        <w:t xml:space="preserve"> </w:t>
      </w:r>
      <w:r w:rsidRPr="00B52A6F">
        <w:rPr>
          <w:rFonts w:ascii="Times New Roman" w:hAnsi="Times New Roman" w:cs="Times New Roman"/>
          <w:b/>
          <w:bCs/>
          <w:color w:val="000000" w:themeColor="text1"/>
        </w:rPr>
        <w:t>at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b/>
          <w:bCs/>
        </w:rPr>
        <w:t>‘Fresh’ and ‘Control’ conditions.</w:t>
      </w:r>
      <w:r w:rsidRPr="00B52A6F">
        <w:rPr>
          <w:rFonts w:ascii="Times New Roman" w:hAnsi="Times New Roman" w:cs="Times New Roman"/>
          <w:b/>
          <w:bCs/>
        </w:rPr>
        <w:t xml:space="preserve"> </w:t>
      </w:r>
      <w:r w:rsidRPr="00B52A6F">
        <w:rPr>
          <w:rFonts w:ascii="Times New Roman" w:hAnsi="Times New Roman" w:cs="Times New Roman"/>
        </w:rPr>
        <w:t>Box plots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shows </w:t>
      </w:r>
      <w:r w:rsidRPr="00B52A6F">
        <w:rPr>
          <w:rFonts w:ascii="Times New Roman" w:hAnsi="Times New Roman" w:cs="Times New Roman"/>
        </w:rPr>
        <w:t xml:space="preserve">Ct values for </w:t>
      </w:r>
      <w:r w:rsidRPr="00B52A6F">
        <w:rPr>
          <w:rFonts w:ascii="Times New Roman" w:hAnsi="Times New Roman" w:cs="Times New Roman"/>
          <w:i/>
          <w:iCs/>
        </w:rPr>
        <w:t>SDHA</w:t>
      </w:r>
      <w:r w:rsidRPr="00B52A6F">
        <w:rPr>
          <w:rFonts w:ascii="Times New Roman" w:hAnsi="Times New Roman" w:cs="Times New Roman"/>
        </w:rPr>
        <w:t xml:space="preserve"> with100-200 base pair (bp) (short-amplicon)</w:t>
      </w:r>
      <w:r w:rsidRPr="00B52A6F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 xml:space="preserve">for Fresh </w:t>
      </w:r>
      <w:r w:rsidRPr="00CA3B62">
        <w:rPr>
          <w:rFonts w:ascii="Times New Roman" w:hAnsi="Times New Roman" w:cs="Times New Roman"/>
          <w:i/>
          <w:iCs/>
          <w:color w:val="000000" w:themeColor="text1"/>
        </w:rPr>
        <w:t>vs.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CA3B62">
        <w:rPr>
          <w:rFonts w:ascii="Times New Roman" w:hAnsi="Times New Roman" w:cs="Times New Roman"/>
          <w:color w:val="000000" w:themeColor="text1"/>
        </w:rPr>
        <w:t xml:space="preserve">Day1/Control; immediately frozen at -80°C for later extraction </w:t>
      </w:r>
      <w:r w:rsidRPr="00B52A6F">
        <w:rPr>
          <w:rFonts w:ascii="Times New Roman" w:hAnsi="Times New Roman" w:cs="Times New Roman"/>
          <w:color w:val="000000" w:themeColor="text1"/>
        </w:rPr>
        <w:t>(</w:t>
      </w:r>
      <w:r>
        <w:rPr>
          <w:rFonts w:ascii="Times New Roman" w:hAnsi="Times New Roman" w:cs="Times New Roman"/>
          <w:color w:val="000000" w:themeColor="text1"/>
        </w:rPr>
        <w:t>m</w:t>
      </w:r>
      <w:r w:rsidRPr="00B52A6F">
        <w:rPr>
          <w:rFonts w:ascii="Times New Roman" w:hAnsi="Times New Roman" w:cs="Times New Roman"/>
          <w:color w:val="000000" w:themeColor="text1"/>
        </w:rPr>
        <w:t>atched n=</w:t>
      </w:r>
      <w:r>
        <w:rPr>
          <w:rFonts w:ascii="Times New Roman" w:hAnsi="Times New Roman" w:cs="Times New Roman"/>
          <w:color w:val="000000" w:themeColor="text1"/>
        </w:rPr>
        <w:t>6</w:t>
      </w:r>
      <w:r w:rsidRPr="00B52A6F">
        <w:rPr>
          <w:rFonts w:ascii="Times New Roman" w:hAnsi="Times New Roman" w:cs="Times New Roman"/>
          <w:color w:val="000000" w:themeColor="text1"/>
        </w:rPr>
        <w:t>)</w:t>
      </w:r>
      <w:r>
        <w:rPr>
          <w:rFonts w:ascii="Times New Roman" w:hAnsi="Times New Roman" w:cs="Times New Roman"/>
          <w:color w:val="000000" w:themeColor="text1"/>
        </w:rPr>
        <w:t>. P</w:t>
      </w:r>
      <w:r w:rsidRPr="00CA3B62">
        <w:rPr>
          <w:rFonts w:ascii="Times New Roman" w:hAnsi="Times New Roman" w:cs="Times New Roman"/>
          <w:color w:val="000000" w:themeColor="text1"/>
        </w:rPr>
        <w:t xml:space="preserve">aired t-test results determined no </w:t>
      </w:r>
      <w:r>
        <w:rPr>
          <w:rFonts w:ascii="Times New Roman" w:hAnsi="Times New Roman" w:cs="Times New Roman"/>
          <w:color w:val="000000" w:themeColor="text1"/>
        </w:rPr>
        <w:t xml:space="preserve">overall </w:t>
      </w:r>
      <w:r w:rsidRPr="00CA3B62">
        <w:rPr>
          <w:rFonts w:ascii="Times New Roman" w:hAnsi="Times New Roman" w:cs="Times New Roman"/>
          <w:color w:val="000000" w:themeColor="text1"/>
        </w:rPr>
        <w:t xml:space="preserve">differences between </w:t>
      </w:r>
      <w:r>
        <w:rPr>
          <w:rFonts w:ascii="Times New Roman" w:hAnsi="Times New Roman" w:cs="Times New Roman"/>
          <w:color w:val="000000" w:themeColor="text1"/>
        </w:rPr>
        <w:t>Fresh</w:t>
      </w:r>
      <w:r w:rsidRPr="00CA3B62">
        <w:rPr>
          <w:rFonts w:ascii="Times New Roman" w:hAnsi="Times New Roman" w:cs="Times New Roman"/>
          <w:color w:val="000000" w:themeColor="text1"/>
        </w:rPr>
        <w:t xml:space="preserve"> </w:t>
      </w:r>
      <w:r w:rsidRPr="00CA3B62">
        <w:rPr>
          <w:rFonts w:ascii="Times New Roman" w:hAnsi="Times New Roman" w:cs="Times New Roman"/>
          <w:i/>
          <w:iCs/>
          <w:color w:val="000000" w:themeColor="text1"/>
        </w:rPr>
        <w:t>vs.</w:t>
      </w:r>
      <w:r w:rsidRPr="00CA3B62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Control</w:t>
      </w:r>
      <w:r w:rsidRPr="00CA3B62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conditions on Ct values.</w:t>
      </w:r>
    </w:p>
    <w:p w14:paraId="3F911FAC" w14:textId="77777777" w:rsidR="003C0A5E" w:rsidRDefault="003C0A5E" w:rsidP="0037118A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3D78E6FF" w14:textId="77777777" w:rsidR="003C0A5E" w:rsidRPr="003F2675" w:rsidRDefault="003C0A5E" w:rsidP="0037118A">
      <w:pPr>
        <w:keepNext/>
        <w:spacing w:line="480" w:lineRule="auto"/>
        <w:jc w:val="both"/>
        <w:rPr>
          <w:rFonts w:ascii="Times New Roman" w:hAnsi="Times New Roman" w:cs="Times New Roman"/>
          <w:i/>
          <w:i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S5 </w:t>
      </w:r>
      <w:r w:rsidRPr="00806BFC">
        <w:rPr>
          <w:rFonts w:ascii="Times New Roman" w:hAnsi="Times New Roman" w:cs="Times New Roman"/>
          <w:b/>
          <w:bCs/>
          <w:color w:val="000000" w:themeColor="text1"/>
        </w:rPr>
        <w:t>Figure</w:t>
      </w:r>
      <w:r>
        <w:rPr>
          <w:rFonts w:ascii="Times New Roman" w:hAnsi="Times New Roman" w:cs="Times New Roman"/>
          <w:b/>
          <w:bCs/>
          <w:color w:val="000000" w:themeColor="text1"/>
        </w:rPr>
        <w:t>:</w:t>
      </w:r>
      <w:r w:rsidRPr="00616025">
        <w:t xml:space="preserve"> </w:t>
      </w:r>
      <w:r w:rsidRPr="000263F0">
        <w:rPr>
          <w:rFonts w:ascii="Times New Roman" w:hAnsi="Times New Roman" w:cs="Times New Roman"/>
          <w:b/>
          <w:bCs/>
          <w:color w:val="000000" w:themeColor="text1"/>
        </w:rPr>
        <w:t xml:space="preserve">Cycle thresholds (Ct) </w:t>
      </w:r>
      <w:r w:rsidRPr="008269EB">
        <w:rPr>
          <w:rFonts w:ascii="Times New Roman" w:hAnsi="Times New Roman" w:cs="Times New Roman"/>
          <w:b/>
          <w:bCs/>
          <w:color w:val="000000" w:themeColor="text1"/>
        </w:rPr>
        <w:t>in dependence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8269EB">
        <w:rPr>
          <w:rFonts w:ascii="Times New Roman" w:hAnsi="Times New Roman" w:cs="Times New Roman"/>
          <w:b/>
          <w:bCs/>
          <w:color w:val="000000" w:themeColor="text1"/>
        </w:rPr>
        <w:t>on amplicon length and RNA integrity (RIN)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for</w:t>
      </w:r>
      <w:r w:rsidRPr="00F030CB"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 TBP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and </w:t>
      </w:r>
      <w:r w:rsidRPr="00F030CB">
        <w:rPr>
          <w:rFonts w:ascii="Times New Roman" w:hAnsi="Times New Roman" w:cs="Times New Roman"/>
          <w:b/>
          <w:bCs/>
          <w:i/>
          <w:iCs/>
          <w:color w:val="000000" w:themeColor="text1"/>
        </w:rPr>
        <w:t>18</w:t>
      </w:r>
      <w:r>
        <w:rPr>
          <w:rFonts w:ascii="Times New Roman" w:hAnsi="Times New Roman" w:cs="Times New Roman"/>
          <w:b/>
          <w:bCs/>
          <w:color w:val="000000" w:themeColor="text1"/>
        </w:rPr>
        <w:t>s.</w:t>
      </w:r>
      <w:r w:rsidRPr="00B52A6F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T</w:t>
      </w:r>
      <w:r w:rsidRPr="00F030CB">
        <w:rPr>
          <w:rFonts w:ascii="Times New Roman" w:hAnsi="Times New Roman" w:cs="Times New Roman"/>
        </w:rPr>
        <w:t>he scatter plots show the</w:t>
      </w:r>
      <w:r>
        <w:rPr>
          <w:rFonts w:ascii="Times New Roman" w:hAnsi="Times New Roman" w:cs="Times New Roman"/>
          <w:b/>
          <w:bCs/>
        </w:rPr>
        <w:t xml:space="preserve"> </w:t>
      </w:r>
      <w:r w:rsidRPr="00396E79">
        <w:rPr>
          <w:rFonts w:ascii="Times New Roman" w:hAnsi="Times New Roman" w:cs="Times New Roman"/>
          <w:color w:val="000000" w:themeColor="text1"/>
        </w:rPr>
        <w:t>Ct values in dependence on amplicon length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396E79">
        <w:rPr>
          <w:rFonts w:ascii="Times New Roman" w:hAnsi="Times New Roman" w:cs="Times New Roman"/>
          <w:color w:val="000000" w:themeColor="text1"/>
        </w:rPr>
        <w:t>and RNA integrity (RIN) for</w:t>
      </w:r>
      <w:r>
        <w:rPr>
          <w:rFonts w:ascii="Times New Roman" w:hAnsi="Times New Roman" w:cs="Times New Roman"/>
          <w:color w:val="000000" w:themeColor="text1"/>
        </w:rPr>
        <w:t xml:space="preserve"> different</w:t>
      </w:r>
      <w:r w:rsidRPr="00396E79">
        <w:rPr>
          <w:rFonts w:ascii="Times New Roman" w:hAnsi="Times New Roman" w:cs="Times New Roman"/>
          <w:color w:val="000000" w:themeColor="text1"/>
        </w:rPr>
        <w:t xml:space="preserve"> amplicon</w:t>
      </w:r>
      <w:r>
        <w:rPr>
          <w:rFonts w:ascii="Times New Roman" w:hAnsi="Times New Roman" w:cs="Times New Roman"/>
          <w:color w:val="000000" w:themeColor="text1"/>
        </w:rPr>
        <w:t xml:space="preserve"> lengths</w:t>
      </w:r>
      <w:r w:rsidRPr="00396E79">
        <w:rPr>
          <w:rFonts w:ascii="Times New Roman" w:hAnsi="Times New Roman" w:cs="Times New Roman"/>
          <w:color w:val="000000" w:themeColor="text1"/>
        </w:rPr>
        <w:t xml:space="preserve"> of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C97868">
        <w:rPr>
          <w:rFonts w:ascii="Times New Roman" w:hAnsi="Times New Roman" w:cs="Times New Roman"/>
          <w:i/>
          <w:iCs/>
          <w:color w:val="000000" w:themeColor="text1"/>
        </w:rPr>
        <w:t>TBP</w:t>
      </w:r>
      <w:r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  <w:r w:rsidRPr="00F030CB">
        <w:rPr>
          <w:rFonts w:ascii="Times New Roman" w:hAnsi="Times New Roman" w:cs="Times New Roman"/>
          <w:color w:val="000000" w:themeColor="text1"/>
        </w:rPr>
        <w:t>and</w:t>
      </w:r>
      <w:r>
        <w:rPr>
          <w:rFonts w:ascii="Times New Roman" w:hAnsi="Times New Roman" w:cs="Times New Roman"/>
          <w:i/>
          <w:iCs/>
          <w:color w:val="000000" w:themeColor="text1"/>
        </w:rPr>
        <w:t xml:space="preserve"> 18s </w:t>
      </w:r>
      <w:r w:rsidRPr="00F030CB">
        <w:rPr>
          <w:rFonts w:ascii="Times New Roman" w:hAnsi="Times New Roman" w:cs="Times New Roman"/>
          <w:color w:val="000000" w:themeColor="text1"/>
        </w:rPr>
        <w:t>when</w:t>
      </w:r>
      <w:r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  <w:r w:rsidRPr="00F030CB">
        <w:rPr>
          <w:rFonts w:ascii="Times New Roman" w:hAnsi="Times New Roman" w:cs="Times New Roman"/>
        </w:rPr>
        <w:t xml:space="preserve">extracted from </w:t>
      </w:r>
      <w:proofErr w:type="spellStart"/>
      <w:r w:rsidRPr="00F030CB">
        <w:rPr>
          <w:rFonts w:ascii="Times New Roman" w:hAnsi="Times New Roman" w:cs="Times New Roman"/>
        </w:rPr>
        <w:t>PAXgene</w:t>
      </w:r>
      <w:proofErr w:type="spellEnd"/>
      <w:r w:rsidRPr="00F030CB">
        <w:rPr>
          <w:rFonts w:ascii="Times New Roman" w:hAnsi="Times New Roman" w:cs="Times New Roman"/>
          <w:vertAlign w:val="superscript"/>
        </w:rPr>
        <w:t>®</w:t>
      </w:r>
      <w:r w:rsidRPr="00F030CB">
        <w:rPr>
          <w:rFonts w:ascii="Times New Roman" w:hAnsi="Times New Roman" w:cs="Times New Roman"/>
        </w:rPr>
        <w:t xml:space="preserve"> and Tempus</w:t>
      </w:r>
      <w:r w:rsidRPr="00F030CB">
        <w:rPr>
          <w:rFonts w:ascii="Times New Roman" w:hAnsi="Times New Roman" w:cs="Times New Roman"/>
          <w:vertAlign w:val="superscript"/>
        </w:rPr>
        <w:t xml:space="preserve">™ </w:t>
      </w:r>
      <w:r w:rsidRPr="00F030CB">
        <w:rPr>
          <w:rFonts w:ascii="Times New Roman" w:hAnsi="Times New Roman" w:cs="Times New Roman"/>
          <w:color w:val="000000" w:themeColor="text1"/>
        </w:rPr>
        <w:t>at different storage lengths</w:t>
      </w:r>
      <w:r w:rsidRPr="00F030CB">
        <w:rPr>
          <w:rFonts w:ascii="Times New Roman" w:hAnsi="Times New Roman" w:cs="Times New Roman"/>
        </w:rPr>
        <w:t>.</w:t>
      </w:r>
    </w:p>
    <w:p w14:paraId="4E59B4E6" w14:textId="77777777" w:rsidR="00F426BE" w:rsidRPr="00806BFC" w:rsidRDefault="00F426BE" w:rsidP="003C0A5E">
      <w:pPr>
        <w:pStyle w:val="Caption"/>
        <w:keepNext/>
        <w:spacing w:line="360" w:lineRule="auto"/>
        <w:rPr>
          <w:rFonts w:ascii="Times New Roman" w:hAnsi="Times New Roman" w:cs="Times New Roman"/>
        </w:rPr>
      </w:pPr>
    </w:p>
    <w:sectPr w:rsidR="00F426BE" w:rsidRPr="00806BFC" w:rsidSect="003C0A5E"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DA5785" w14:textId="77777777" w:rsidR="004609CA" w:rsidRDefault="004609CA" w:rsidP="003F19E7">
      <w:r>
        <w:separator/>
      </w:r>
    </w:p>
  </w:endnote>
  <w:endnote w:type="continuationSeparator" w:id="0">
    <w:p w14:paraId="6B57248B" w14:textId="77777777" w:rsidR="004609CA" w:rsidRDefault="004609CA" w:rsidP="003F19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4D9188" w14:textId="77777777" w:rsidR="004609CA" w:rsidRDefault="004609CA" w:rsidP="003F19E7">
      <w:r>
        <w:separator/>
      </w:r>
    </w:p>
  </w:footnote>
  <w:footnote w:type="continuationSeparator" w:id="0">
    <w:p w14:paraId="3ECDA25B" w14:textId="77777777" w:rsidR="004609CA" w:rsidRDefault="004609CA" w:rsidP="003F19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trackRevisions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36B"/>
    <w:rsid w:val="0001226B"/>
    <w:rsid w:val="000128E6"/>
    <w:rsid w:val="00015E76"/>
    <w:rsid w:val="00016DD9"/>
    <w:rsid w:val="00023D50"/>
    <w:rsid w:val="00024487"/>
    <w:rsid w:val="0002499F"/>
    <w:rsid w:val="000332DC"/>
    <w:rsid w:val="000456F0"/>
    <w:rsid w:val="00053382"/>
    <w:rsid w:val="00066BA3"/>
    <w:rsid w:val="00071F49"/>
    <w:rsid w:val="00077DE3"/>
    <w:rsid w:val="00080F4E"/>
    <w:rsid w:val="000846A4"/>
    <w:rsid w:val="0009712A"/>
    <w:rsid w:val="000A6B02"/>
    <w:rsid w:val="000A6BF4"/>
    <w:rsid w:val="000B045C"/>
    <w:rsid w:val="000B6399"/>
    <w:rsid w:val="000C3968"/>
    <w:rsid w:val="000C6174"/>
    <w:rsid w:val="000D2827"/>
    <w:rsid w:val="000E25DF"/>
    <w:rsid w:val="000E4847"/>
    <w:rsid w:val="000E628E"/>
    <w:rsid w:val="000F583D"/>
    <w:rsid w:val="000F6656"/>
    <w:rsid w:val="000F76F8"/>
    <w:rsid w:val="00105EAD"/>
    <w:rsid w:val="001064AC"/>
    <w:rsid w:val="0010718E"/>
    <w:rsid w:val="001132E2"/>
    <w:rsid w:val="00115ADE"/>
    <w:rsid w:val="00116E50"/>
    <w:rsid w:val="001204AD"/>
    <w:rsid w:val="00121884"/>
    <w:rsid w:val="0013402C"/>
    <w:rsid w:val="00136BD4"/>
    <w:rsid w:val="0014072C"/>
    <w:rsid w:val="00144A83"/>
    <w:rsid w:val="00145E3F"/>
    <w:rsid w:val="0014660E"/>
    <w:rsid w:val="0015260F"/>
    <w:rsid w:val="00152ED7"/>
    <w:rsid w:val="00153771"/>
    <w:rsid w:val="00157957"/>
    <w:rsid w:val="0016141C"/>
    <w:rsid w:val="001644D9"/>
    <w:rsid w:val="0016503C"/>
    <w:rsid w:val="00167CB4"/>
    <w:rsid w:val="00174755"/>
    <w:rsid w:val="001754DB"/>
    <w:rsid w:val="00177AB8"/>
    <w:rsid w:val="00180103"/>
    <w:rsid w:val="00181F6B"/>
    <w:rsid w:val="00183A32"/>
    <w:rsid w:val="00192158"/>
    <w:rsid w:val="0019372E"/>
    <w:rsid w:val="00196C98"/>
    <w:rsid w:val="001A4917"/>
    <w:rsid w:val="001A69EE"/>
    <w:rsid w:val="001A7EE0"/>
    <w:rsid w:val="001B18A1"/>
    <w:rsid w:val="001B2662"/>
    <w:rsid w:val="001B305D"/>
    <w:rsid w:val="001D3259"/>
    <w:rsid w:val="001D3C23"/>
    <w:rsid w:val="001D7F20"/>
    <w:rsid w:val="001E070E"/>
    <w:rsid w:val="001E2241"/>
    <w:rsid w:val="001F07DA"/>
    <w:rsid w:val="001F3F4B"/>
    <w:rsid w:val="001F4D82"/>
    <w:rsid w:val="001F5566"/>
    <w:rsid w:val="002077A4"/>
    <w:rsid w:val="00211CA0"/>
    <w:rsid w:val="00222EC7"/>
    <w:rsid w:val="00227E62"/>
    <w:rsid w:val="0023743A"/>
    <w:rsid w:val="00237F85"/>
    <w:rsid w:val="00244508"/>
    <w:rsid w:val="0024479C"/>
    <w:rsid w:val="00244ECE"/>
    <w:rsid w:val="00245A10"/>
    <w:rsid w:val="00251BDB"/>
    <w:rsid w:val="00262238"/>
    <w:rsid w:val="002645F1"/>
    <w:rsid w:val="002652E4"/>
    <w:rsid w:val="00267E09"/>
    <w:rsid w:val="002775F7"/>
    <w:rsid w:val="00290780"/>
    <w:rsid w:val="00295E42"/>
    <w:rsid w:val="002A27FE"/>
    <w:rsid w:val="002A3562"/>
    <w:rsid w:val="002A4C03"/>
    <w:rsid w:val="002A77FB"/>
    <w:rsid w:val="002B114F"/>
    <w:rsid w:val="002B3BC6"/>
    <w:rsid w:val="002B7557"/>
    <w:rsid w:val="002C1936"/>
    <w:rsid w:val="002C21E2"/>
    <w:rsid w:val="002C633F"/>
    <w:rsid w:val="002C6FB1"/>
    <w:rsid w:val="002D20EE"/>
    <w:rsid w:val="002D6519"/>
    <w:rsid w:val="002D797F"/>
    <w:rsid w:val="002E01C7"/>
    <w:rsid w:val="002F4C28"/>
    <w:rsid w:val="0030101E"/>
    <w:rsid w:val="003044C0"/>
    <w:rsid w:val="00325289"/>
    <w:rsid w:val="0033642F"/>
    <w:rsid w:val="0034170A"/>
    <w:rsid w:val="00346003"/>
    <w:rsid w:val="00364630"/>
    <w:rsid w:val="0036535F"/>
    <w:rsid w:val="00367024"/>
    <w:rsid w:val="003707C3"/>
    <w:rsid w:val="0037118A"/>
    <w:rsid w:val="00373CF4"/>
    <w:rsid w:val="00377961"/>
    <w:rsid w:val="003824DE"/>
    <w:rsid w:val="003A060F"/>
    <w:rsid w:val="003A1713"/>
    <w:rsid w:val="003A353C"/>
    <w:rsid w:val="003C0A5E"/>
    <w:rsid w:val="003C171F"/>
    <w:rsid w:val="003C2A41"/>
    <w:rsid w:val="003C7B19"/>
    <w:rsid w:val="003D379A"/>
    <w:rsid w:val="003D4FEB"/>
    <w:rsid w:val="003D54D1"/>
    <w:rsid w:val="003E4934"/>
    <w:rsid w:val="003F19E7"/>
    <w:rsid w:val="00403964"/>
    <w:rsid w:val="0041012D"/>
    <w:rsid w:val="00427493"/>
    <w:rsid w:val="00432D9A"/>
    <w:rsid w:val="004349DC"/>
    <w:rsid w:val="00434C29"/>
    <w:rsid w:val="0043638D"/>
    <w:rsid w:val="00437DB4"/>
    <w:rsid w:val="0044151B"/>
    <w:rsid w:val="004419C5"/>
    <w:rsid w:val="00446329"/>
    <w:rsid w:val="00447A73"/>
    <w:rsid w:val="004537F0"/>
    <w:rsid w:val="004609CA"/>
    <w:rsid w:val="00476D0E"/>
    <w:rsid w:val="00477128"/>
    <w:rsid w:val="00486C47"/>
    <w:rsid w:val="004A2F3C"/>
    <w:rsid w:val="004B76A6"/>
    <w:rsid w:val="004D4090"/>
    <w:rsid w:val="004D67A5"/>
    <w:rsid w:val="004D6D48"/>
    <w:rsid w:val="004D7494"/>
    <w:rsid w:val="004F1D30"/>
    <w:rsid w:val="004F26D8"/>
    <w:rsid w:val="004F402D"/>
    <w:rsid w:val="005018A5"/>
    <w:rsid w:val="005036A6"/>
    <w:rsid w:val="0050424B"/>
    <w:rsid w:val="00506A68"/>
    <w:rsid w:val="00506CD8"/>
    <w:rsid w:val="00514BD9"/>
    <w:rsid w:val="00525D9C"/>
    <w:rsid w:val="0052619E"/>
    <w:rsid w:val="005326C4"/>
    <w:rsid w:val="00534A4B"/>
    <w:rsid w:val="00536B91"/>
    <w:rsid w:val="00544A80"/>
    <w:rsid w:val="00571B26"/>
    <w:rsid w:val="00572B76"/>
    <w:rsid w:val="00577894"/>
    <w:rsid w:val="00590085"/>
    <w:rsid w:val="005901E8"/>
    <w:rsid w:val="00590A04"/>
    <w:rsid w:val="00592B24"/>
    <w:rsid w:val="005938A0"/>
    <w:rsid w:val="00593BCE"/>
    <w:rsid w:val="00597B7A"/>
    <w:rsid w:val="005A02D9"/>
    <w:rsid w:val="005A14E6"/>
    <w:rsid w:val="005A62FF"/>
    <w:rsid w:val="005A6580"/>
    <w:rsid w:val="005A6B06"/>
    <w:rsid w:val="005A779F"/>
    <w:rsid w:val="005C0818"/>
    <w:rsid w:val="005C7289"/>
    <w:rsid w:val="005D166C"/>
    <w:rsid w:val="005E61E4"/>
    <w:rsid w:val="005F6200"/>
    <w:rsid w:val="006005BC"/>
    <w:rsid w:val="00605CE1"/>
    <w:rsid w:val="00616025"/>
    <w:rsid w:val="006167BC"/>
    <w:rsid w:val="00621A72"/>
    <w:rsid w:val="006275EF"/>
    <w:rsid w:val="006305DD"/>
    <w:rsid w:val="00632E36"/>
    <w:rsid w:val="00634A46"/>
    <w:rsid w:val="0063659C"/>
    <w:rsid w:val="00640887"/>
    <w:rsid w:val="006430C7"/>
    <w:rsid w:val="00644B40"/>
    <w:rsid w:val="006454D3"/>
    <w:rsid w:val="006474AB"/>
    <w:rsid w:val="006513E5"/>
    <w:rsid w:val="00652278"/>
    <w:rsid w:val="0065265B"/>
    <w:rsid w:val="00654FEC"/>
    <w:rsid w:val="00655793"/>
    <w:rsid w:val="0066181D"/>
    <w:rsid w:val="00663BCF"/>
    <w:rsid w:val="00673ED1"/>
    <w:rsid w:val="00681FD3"/>
    <w:rsid w:val="006827DA"/>
    <w:rsid w:val="0068323B"/>
    <w:rsid w:val="006A14EE"/>
    <w:rsid w:val="006A2B68"/>
    <w:rsid w:val="006A7AD8"/>
    <w:rsid w:val="006B06F2"/>
    <w:rsid w:val="006B763F"/>
    <w:rsid w:val="006C46FD"/>
    <w:rsid w:val="006C5C5C"/>
    <w:rsid w:val="006D3BE7"/>
    <w:rsid w:val="006F33AF"/>
    <w:rsid w:val="00705FD4"/>
    <w:rsid w:val="0071013C"/>
    <w:rsid w:val="007134DB"/>
    <w:rsid w:val="00716F77"/>
    <w:rsid w:val="00717CB5"/>
    <w:rsid w:val="00721D03"/>
    <w:rsid w:val="007239BA"/>
    <w:rsid w:val="00732104"/>
    <w:rsid w:val="0074616A"/>
    <w:rsid w:val="00746C5E"/>
    <w:rsid w:val="0075582E"/>
    <w:rsid w:val="00774495"/>
    <w:rsid w:val="007768B8"/>
    <w:rsid w:val="00776D35"/>
    <w:rsid w:val="00780C01"/>
    <w:rsid w:val="00796094"/>
    <w:rsid w:val="007C2692"/>
    <w:rsid w:val="007C48A6"/>
    <w:rsid w:val="007D3872"/>
    <w:rsid w:val="007E026A"/>
    <w:rsid w:val="008063FB"/>
    <w:rsid w:val="00806BFC"/>
    <w:rsid w:val="008250CC"/>
    <w:rsid w:val="00825F69"/>
    <w:rsid w:val="00827752"/>
    <w:rsid w:val="00833A4A"/>
    <w:rsid w:val="0083583C"/>
    <w:rsid w:val="00837615"/>
    <w:rsid w:val="00853431"/>
    <w:rsid w:val="00860D39"/>
    <w:rsid w:val="008829F0"/>
    <w:rsid w:val="00883071"/>
    <w:rsid w:val="00883CC8"/>
    <w:rsid w:val="008866FE"/>
    <w:rsid w:val="0089156D"/>
    <w:rsid w:val="00892FF3"/>
    <w:rsid w:val="008948EE"/>
    <w:rsid w:val="008A0A50"/>
    <w:rsid w:val="008A0D41"/>
    <w:rsid w:val="008B68E2"/>
    <w:rsid w:val="008C0BF2"/>
    <w:rsid w:val="008D282D"/>
    <w:rsid w:val="008D50C6"/>
    <w:rsid w:val="008E3A02"/>
    <w:rsid w:val="008F265D"/>
    <w:rsid w:val="008F2F39"/>
    <w:rsid w:val="009026BA"/>
    <w:rsid w:val="00902D5D"/>
    <w:rsid w:val="00903012"/>
    <w:rsid w:val="009103C1"/>
    <w:rsid w:val="00914CA3"/>
    <w:rsid w:val="00921CE6"/>
    <w:rsid w:val="00926B7E"/>
    <w:rsid w:val="00930744"/>
    <w:rsid w:val="009332B6"/>
    <w:rsid w:val="009340A9"/>
    <w:rsid w:val="00940C8E"/>
    <w:rsid w:val="009425F2"/>
    <w:rsid w:val="00943D0A"/>
    <w:rsid w:val="00946863"/>
    <w:rsid w:val="00956932"/>
    <w:rsid w:val="00971DF6"/>
    <w:rsid w:val="00977799"/>
    <w:rsid w:val="009825DC"/>
    <w:rsid w:val="00985150"/>
    <w:rsid w:val="0098516B"/>
    <w:rsid w:val="009912F0"/>
    <w:rsid w:val="00994D76"/>
    <w:rsid w:val="00997DAD"/>
    <w:rsid w:val="009A194E"/>
    <w:rsid w:val="009B3F61"/>
    <w:rsid w:val="009B42BE"/>
    <w:rsid w:val="009B7C36"/>
    <w:rsid w:val="009C7802"/>
    <w:rsid w:val="009C7EB8"/>
    <w:rsid w:val="009D18AC"/>
    <w:rsid w:val="009E06A9"/>
    <w:rsid w:val="009E2933"/>
    <w:rsid w:val="009E5EC7"/>
    <w:rsid w:val="009E610B"/>
    <w:rsid w:val="009F495F"/>
    <w:rsid w:val="009F6563"/>
    <w:rsid w:val="00A112FA"/>
    <w:rsid w:val="00A13E30"/>
    <w:rsid w:val="00A149B9"/>
    <w:rsid w:val="00A16890"/>
    <w:rsid w:val="00A22313"/>
    <w:rsid w:val="00A2450A"/>
    <w:rsid w:val="00A40B60"/>
    <w:rsid w:val="00A454B1"/>
    <w:rsid w:val="00A61896"/>
    <w:rsid w:val="00A6319C"/>
    <w:rsid w:val="00A647ED"/>
    <w:rsid w:val="00A67236"/>
    <w:rsid w:val="00A700C6"/>
    <w:rsid w:val="00A70A5C"/>
    <w:rsid w:val="00A70CB7"/>
    <w:rsid w:val="00A74964"/>
    <w:rsid w:val="00A7679D"/>
    <w:rsid w:val="00A83780"/>
    <w:rsid w:val="00A9709E"/>
    <w:rsid w:val="00AA319F"/>
    <w:rsid w:val="00AB0B85"/>
    <w:rsid w:val="00AB32D9"/>
    <w:rsid w:val="00AB7BE2"/>
    <w:rsid w:val="00AC2AFE"/>
    <w:rsid w:val="00AC3E4C"/>
    <w:rsid w:val="00AC4BEB"/>
    <w:rsid w:val="00AD613F"/>
    <w:rsid w:val="00B007C8"/>
    <w:rsid w:val="00B05EE0"/>
    <w:rsid w:val="00B0635B"/>
    <w:rsid w:val="00B114A3"/>
    <w:rsid w:val="00B1196E"/>
    <w:rsid w:val="00B20FCA"/>
    <w:rsid w:val="00B21CC2"/>
    <w:rsid w:val="00B275E6"/>
    <w:rsid w:val="00B43C22"/>
    <w:rsid w:val="00B525BA"/>
    <w:rsid w:val="00B52A6F"/>
    <w:rsid w:val="00B54A09"/>
    <w:rsid w:val="00B57C9A"/>
    <w:rsid w:val="00B65B5B"/>
    <w:rsid w:val="00B6718B"/>
    <w:rsid w:val="00B67922"/>
    <w:rsid w:val="00B71A9B"/>
    <w:rsid w:val="00B751ED"/>
    <w:rsid w:val="00B7734B"/>
    <w:rsid w:val="00B77EBF"/>
    <w:rsid w:val="00B84C65"/>
    <w:rsid w:val="00B8777F"/>
    <w:rsid w:val="00B87B9D"/>
    <w:rsid w:val="00BA630D"/>
    <w:rsid w:val="00BA6E74"/>
    <w:rsid w:val="00BB0AD8"/>
    <w:rsid w:val="00BB26DC"/>
    <w:rsid w:val="00BB5A9C"/>
    <w:rsid w:val="00BB6614"/>
    <w:rsid w:val="00BB67AA"/>
    <w:rsid w:val="00BC14EA"/>
    <w:rsid w:val="00BC1D97"/>
    <w:rsid w:val="00BE4317"/>
    <w:rsid w:val="00BF3128"/>
    <w:rsid w:val="00BF5D3C"/>
    <w:rsid w:val="00C03868"/>
    <w:rsid w:val="00C03DF2"/>
    <w:rsid w:val="00C0722D"/>
    <w:rsid w:val="00C07A22"/>
    <w:rsid w:val="00C15154"/>
    <w:rsid w:val="00C16004"/>
    <w:rsid w:val="00C55090"/>
    <w:rsid w:val="00C5617E"/>
    <w:rsid w:val="00C6749E"/>
    <w:rsid w:val="00C67C24"/>
    <w:rsid w:val="00C74147"/>
    <w:rsid w:val="00C7623B"/>
    <w:rsid w:val="00C80679"/>
    <w:rsid w:val="00C821EE"/>
    <w:rsid w:val="00C82D9A"/>
    <w:rsid w:val="00C910A6"/>
    <w:rsid w:val="00C92407"/>
    <w:rsid w:val="00C94492"/>
    <w:rsid w:val="00C95BDD"/>
    <w:rsid w:val="00C95DA2"/>
    <w:rsid w:val="00C96FBF"/>
    <w:rsid w:val="00C97868"/>
    <w:rsid w:val="00CA3B62"/>
    <w:rsid w:val="00CA3FE0"/>
    <w:rsid w:val="00CA458E"/>
    <w:rsid w:val="00CA6737"/>
    <w:rsid w:val="00CA69A7"/>
    <w:rsid w:val="00CB52BA"/>
    <w:rsid w:val="00CB6AAE"/>
    <w:rsid w:val="00CB7A4A"/>
    <w:rsid w:val="00CC0F7A"/>
    <w:rsid w:val="00CC1F79"/>
    <w:rsid w:val="00CE2E26"/>
    <w:rsid w:val="00CE3CFC"/>
    <w:rsid w:val="00CF4DA9"/>
    <w:rsid w:val="00CF6C33"/>
    <w:rsid w:val="00D011E7"/>
    <w:rsid w:val="00D02FBA"/>
    <w:rsid w:val="00D0704C"/>
    <w:rsid w:val="00D10FC3"/>
    <w:rsid w:val="00D17293"/>
    <w:rsid w:val="00D20BB2"/>
    <w:rsid w:val="00D252AC"/>
    <w:rsid w:val="00D25501"/>
    <w:rsid w:val="00D314B5"/>
    <w:rsid w:val="00D36535"/>
    <w:rsid w:val="00D372BB"/>
    <w:rsid w:val="00D4472A"/>
    <w:rsid w:val="00D4719F"/>
    <w:rsid w:val="00D6013E"/>
    <w:rsid w:val="00D657ED"/>
    <w:rsid w:val="00D704E7"/>
    <w:rsid w:val="00D7719A"/>
    <w:rsid w:val="00D82599"/>
    <w:rsid w:val="00D84C54"/>
    <w:rsid w:val="00D86FE4"/>
    <w:rsid w:val="00D9628C"/>
    <w:rsid w:val="00D972E5"/>
    <w:rsid w:val="00DA34F3"/>
    <w:rsid w:val="00DA4B16"/>
    <w:rsid w:val="00DA5BCF"/>
    <w:rsid w:val="00DA6185"/>
    <w:rsid w:val="00DB3C4D"/>
    <w:rsid w:val="00DB5731"/>
    <w:rsid w:val="00DD180E"/>
    <w:rsid w:val="00DD3BCB"/>
    <w:rsid w:val="00DD57A0"/>
    <w:rsid w:val="00DE50D8"/>
    <w:rsid w:val="00DF7449"/>
    <w:rsid w:val="00E002BB"/>
    <w:rsid w:val="00E027D9"/>
    <w:rsid w:val="00E1024C"/>
    <w:rsid w:val="00E23A47"/>
    <w:rsid w:val="00E30C8D"/>
    <w:rsid w:val="00E3479A"/>
    <w:rsid w:val="00E36000"/>
    <w:rsid w:val="00E6156C"/>
    <w:rsid w:val="00E65BC4"/>
    <w:rsid w:val="00E7550A"/>
    <w:rsid w:val="00E87F0D"/>
    <w:rsid w:val="00EA3886"/>
    <w:rsid w:val="00EB3B53"/>
    <w:rsid w:val="00EB6828"/>
    <w:rsid w:val="00EC65E8"/>
    <w:rsid w:val="00EE32DC"/>
    <w:rsid w:val="00EE3334"/>
    <w:rsid w:val="00EE47A7"/>
    <w:rsid w:val="00EE58FB"/>
    <w:rsid w:val="00EF0C29"/>
    <w:rsid w:val="00EF1293"/>
    <w:rsid w:val="00EF236B"/>
    <w:rsid w:val="00EF3E19"/>
    <w:rsid w:val="00EF5819"/>
    <w:rsid w:val="00F05A7D"/>
    <w:rsid w:val="00F13777"/>
    <w:rsid w:val="00F147F6"/>
    <w:rsid w:val="00F20156"/>
    <w:rsid w:val="00F201DD"/>
    <w:rsid w:val="00F2068B"/>
    <w:rsid w:val="00F41BCF"/>
    <w:rsid w:val="00F426BE"/>
    <w:rsid w:val="00F43216"/>
    <w:rsid w:val="00F520F5"/>
    <w:rsid w:val="00F5763F"/>
    <w:rsid w:val="00F667EB"/>
    <w:rsid w:val="00F67162"/>
    <w:rsid w:val="00F673E4"/>
    <w:rsid w:val="00F76669"/>
    <w:rsid w:val="00F90520"/>
    <w:rsid w:val="00F9301C"/>
    <w:rsid w:val="00F93DF7"/>
    <w:rsid w:val="00FA0223"/>
    <w:rsid w:val="00FA2081"/>
    <w:rsid w:val="00FA3A3B"/>
    <w:rsid w:val="00FA4EBC"/>
    <w:rsid w:val="00FB17D9"/>
    <w:rsid w:val="00FB46A8"/>
    <w:rsid w:val="00FB6349"/>
    <w:rsid w:val="00FB64CF"/>
    <w:rsid w:val="00FC1AF0"/>
    <w:rsid w:val="00FC2C55"/>
    <w:rsid w:val="00FC41FA"/>
    <w:rsid w:val="00FD374A"/>
    <w:rsid w:val="00FE500F"/>
    <w:rsid w:val="00FE720D"/>
    <w:rsid w:val="00FE76BD"/>
    <w:rsid w:val="00FF23CB"/>
    <w:rsid w:val="00FF56F9"/>
    <w:rsid w:val="54505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68109"/>
  <w15:chartTrackingRefBased/>
  <w15:docId w15:val="{308A73D0-722C-7649-9D97-0B6C1A3E6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EF236B"/>
  </w:style>
  <w:style w:type="paragraph" w:styleId="Caption">
    <w:name w:val="caption"/>
    <w:basedOn w:val="Normal"/>
    <w:next w:val="Normal"/>
    <w:uiPriority w:val="35"/>
    <w:unhideWhenUsed/>
    <w:qFormat/>
    <w:rsid w:val="00EF236B"/>
    <w:pPr>
      <w:spacing w:after="200"/>
    </w:pPr>
    <w:rPr>
      <w:i/>
      <w:iCs/>
      <w:color w:val="44546A" w:themeColor="text2"/>
      <w:sz w:val="18"/>
      <w:szCs w:val="18"/>
    </w:rPr>
  </w:style>
  <w:style w:type="table" w:styleId="PlainTable5">
    <w:name w:val="Plain Table 5"/>
    <w:basedOn w:val="TableNormal"/>
    <w:uiPriority w:val="45"/>
    <w:rsid w:val="00A16890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F19E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19E7"/>
  </w:style>
  <w:style w:type="paragraph" w:styleId="Footer">
    <w:name w:val="footer"/>
    <w:basedOn w:val="Normal"/>
    <w:link w:val="FooterChar"/>
    <w:uiPriority w:val="99"/>
    <w:unhideWhenUsed/>
    <w:rsid w:val="003F19E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19E7"/>
  </w:style>
  <w:style w:type="table" w:styleId="TableGrid">
    <w:name w:val="Table Grid"/>
    <w:basedOn w:val="TableNormal"/>
    <w:uiPriority w:val="39"/>
    <w:rsid w:val="003F19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44151B"/>
    <w:pPr>
      <w:widowControl w:val="0"/>
      <w:autoSpaceDE w:val="0"/>
      <w:autoSpaceDN w:val="0"/>
    </w:pPr>
    <w:rPr>
      <w:sz w:val="22"/>
      <w:szCs w:val="22"/>
      <w:lang w:val="en-US"/>
    </w:rPr>
  </w:style>
  <w:style w:type="paragraph" w:customStyle="1" w:styleId="TableParagraph">
    <w:name w:val="Table Paragraph"/>
    <w:basedOn w:val="Normal"/>
    <w:uiPriority w:val="1"/>
    <w:qFormat/>
    <w:rsid w:val="0044151B"/>
    <w:pPr>
      <w:widowControl w:val="0"/>
      <w:autoSpaceDE w:val="0"/>
      <w:autoSpaceDN w:val="0"/>
      <w:spacing w:line="190" w:lineRule="exact"/>
      <w:ind w:right="20"/>
      <w:jc w:val="right"/>
    </w:pPr>
    <w:rPr>
      <w:rFonts w:ascii="Times New Roman" w:eastAsia="Times New Roman" w:hAnsi="Times New Roman" w:cs="Times New Roman"/>
      <w:sz w:val="22"/>
      <w:szCs w:val="22"/>
      <w:lang w:val="en-US"/>
    </w:rPr>
  </w:style>
  <w:style w:type="paragraph" w:styleId="Revision">
    <w:name w:val="Revision"/>
    <w:hidden/>
    <w:uiPriority w:val="99"/>
    <w:semiHidden/>
    <w:rsid w:val="001754DB"/>
  </w:style>
  <w:style w:type="character" w:styleId="CommentReference">
    <w:name w:val="annotation reference"/>
    <w:basedOn w:val="DefaultParagraphFont"/>
    <w:uiPriority w:val="99"/>
    <w:semiHidden/>
    <w:unhideWhenUsed/>
    <w:rsid w:val="00D771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719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719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71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719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07C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7C3"/>
    <w:rPr>
      <w:rFonts w:ascii="Times New Roman" w:hAnsi="Times New Roman" w:cs="Times New Roman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063F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n-US"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063FB"/>
    <w:rPr>
      <w:rFonts w:ascii="Courier New" w:eastAsia="Times New Roman" w:hAnsi="Courier New" w:cs="Courier New"/>
      <w:sz w:val="20"/>
      <w:szCs w:val="20"/>
      <w:lang w:val="en-US" w:eastAsia="en-GB"/>
    </w:rPr>
  </w:style>
  <w:style w:type="character" w:styleId="HTMLCode">
    <w:name w:val="HTML Code"/>
    <w:basedOn w:val="DefaultParagraphFont"/>
    <w:uiPriority w:val="99"/>
    <w:semiHidden/>
    <w:unhideWhenUsed/>
    <w:rsid w:val="008063FB"/>
    <w:rPr>
      <w:rFonts w:ascii="Courier New" w:eastAsia="Times New Roman" w:hAnsi="Courier New" w:cs="Courier New"/>
      <w:sz w:val="20"/>
      <w:szCs w:val="20"/>
    </w:rPr>
  </w:style>
  <w:style w:type="character" w:customStyle="1" w:styleId="hljs-operator">
    <w:name w:val="hljs-operator"/>
    <w:basedOn w:val="DefaultParagraphFont"/>
    <w:rsid w:val="008063FB"/>
  </w:style>
  <w:style w:type="character" w:customStyle="1" w:styleId="hljs-punctuation">
    <w:name w:val="hljs-punctuation"/>
    <w:basedOn w:val="DefaultParagraphFont"/>
    <w:rsid w:val="008063FB"/>
  </w:style>
  <w:style w:type="character" w:customStyle="1" w:styleId="hljs-number">
    <w:name w:val="hljs-number"/>
    <w:basedOn w:val="DefaultParagraphFont"/>
    <w:rsid w:val="008063FB"/>
  </w:style>
  <w:style w:type="character" w:customStyle="1" w:styleId="hljs-string">
    <w:name w:val="hljs-string"/>
    <w:basedOn w:val="DefaultParagraphFont"/>
    <w:rsid w:val="008063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9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4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2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1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6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1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5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1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3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4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1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6F54BB0-39DC-9F44-8B53-DEABF383487B}">
  <we:reference id="wa200001011" version="1.2.0.0" store="en-US" storeType="OMEX"/>
  <we:alternateReferences>
    <we:reference id="WA200001011" version="1.2.0.0" store="WA200001011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3C4B5A3-0872-A44D-90CB-4D9E2D6F8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517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James Cook University</Company>
  <LinksUpToDate>false</LinksUpToDate>
  <CharactersWithSpaces>3461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Yomani Sarathkumara</dc:creator>
  <cp:keywords/>
  <dc:description/>
  <cp:lastModifiedBy>Yomani Sarathkumara</cp:lastModifiedBy>
  <cp:revision>3</cp:revision>
  <cp:lastPrinted>2022-01-24T00:06:00Z</cp:lastPrinted>
  <dcterms:created xsi:type="dcterms:W3CDTF">2022-06-05T22:38:00Z</dcterms:created>
  <dcterms:modified xsi:type="dcterms:W3CDTF">2022-06-05T22:51:00Z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documentId_8701</vt:lpwstr>
  </property>
  <property fmtid="{D5CDD505-2E9C-101B-9397-08002B2CF9AE}" pid="3" name="grammarly_documentContext">
    <vt:lpwstr>{"goals":[],"domain":"general","emotions":[],"dialect":"australian"}</vt:lpwstr>
  </property>
</Properties>
</file>