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3E" w:rsidRPr="00424F15" w:rsidRDefault="00F85E3E" w:rsidP="00F85E3E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424F15">
        <w:rPr>
          <w:rFonts w:asciiTheme="majorBidi" w:hAnsiTheme="majorBidi" w:cstheme="majorBidi"/>
          <w:b/>
          <w:bCs/>
          <w:sz w:val="20"/>
          <w:szCs w:val="20"/>
        </w:rPr>
        <w:t xml:space="preserve">Table S1. </w:t>
      </w:r>
      <w:r w:rsidRPr="00424F15">
        <w:rPr>
          <w:rFonts w:asciiTheme="majorBidi" w:hAnsiTheme="majorBidi" w:cstheme="majorBidi"/>
          <w:sz w:val="20"/>
          <w:szCs w:val="20"/>
        </w:rPr>
        <w:t>Selected ions were applied for the quantification and qualification of PAH analytes by GC-MS equipment (SIM mode).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67"/>
        <w:gridCol w:w="2754"/>
        <w:gridCol w:w="1378"/>
        <w:gridCol w:w="1383"/>
        <w:gridCol w:w="1461"/>
      </w:tblGrid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Ion group</w:t>
            </w:r>
          </w:p>
        </w:tc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Analyte (PAHs)</w:t>
            </w:r>
          </w:p>
        </w:tc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window</w:t>
            </w:r>
          </w:p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(min.)</w:t>
            </w:r>
          </w:p>
        </w:tc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Confirmation</w:t>
            </w:r>
          </w:p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ions (m/z)</w:t>
            </w:r>
          </w:p>
        </w:tc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Quantification</w:t>
            </w:r>
          </w:p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ion (m/z)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I.S. (Biphenyl)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8–13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153, 152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154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NA (Naphthalene)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6–13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128, 127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128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Ace (Acenaphthylene)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8–13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153, 151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152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Ac (Acenaphthene)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8–13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154, 152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153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F (Fluorene)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13–15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165, 167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166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Pa (Phenanthrene)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15–17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179, 176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178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A (Anthracene)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15–17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179, 176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178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Fl (Fluoranthene)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17–20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203, 101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202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P (Pyrene)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17–20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203, 101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202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BaA (Benzo[a] anthracene)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20–23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226, 229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228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Ch (Chrysene)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20–23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226, 229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228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BbF (Benzo[b] fluoranthene)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23–28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253, 126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252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BkF (Benzo[k] fluoranthene)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23–28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253, 126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252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BaP (Benzo[a]pyrene)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23–28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253, 126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252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IP (Indeno[1,2,3– cd]pyrene)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28–31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277, 138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276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pt-BR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  <w:lang w:val="pt-BR"/>
              </w:rPr>
              <w:t>DhA (Dibenzo[a,h] anthracene)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28–31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279,139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278</w:t>
            </w:r>
          </w:p>
        </w:tc>
      </w:tr>
      <w:tr w:rsidR="00F85E3E" w:rsidRPr="00424F15" w:rsidTr="00BE2219">
        <w:tc>
          <w:tcPr>
            <w:tcW w:w="0" w:type="auto"/>
          </w:tcPr>
          <w:p w:rsidR="00F85E3E" w:rsidRPr="00C9179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1795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pt-BR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  <w:lang w:val="pt-BR"/>
              </w:rPr>
              <w:t>BgP (Benzo[g,h,i] perylene)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28–31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277,138</w:t>
            </w:r>
          </w:p>
        </w:tc>
        <w:tc>
          <w:tcPr>
            <w:tcW w:w="0" w:type="auto"/>
          </w:tcPr>
          <w:p w:rsidR="00F85E3E" w:rsidRPr="00424F15" w:rsidRDefault="00F85E3E" w:rsidP="00BE221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276</w:t>
            </w:r>
          </w:p>
        </w:tc>
      </w:tr>
    </w:tbl>
    <w:p w:rsidR="00000F57" w:rsidRDefault="00F85E3E"/>
    <w:p w:rsidR="00F85E3E" w:rsidRPr="00424F15" w:rsidRDefault="00F85E3E" w:rsidP="00F85E3E">
      <w:pPr>
        <w:shd w:val="clear" w:color="auto" w:fill="FFFFFF" w:themeFill="background1"/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424F15">
        <w:rPr>
          <w:rFonts w:asciiTheme="majorBidi" w:hAnsiTheme="majorBidi" w:cstheme="majorBidi"/>
          <w:b/>
          <w:bCs/>
          <w:sz w:val="20"/>
          <w:szCs w:val="20"/>
        </w:rPr>
        <w:t>Table S2:</w:t>
      </w:r>
      <w:r w:rsidRPr="00424F15">
        <w:rPr>
          <w:rFonts w:asciiTheme="majorBidi" w:hAnsiTheme="majorBidi" w:cstheme="majorBidi"/>
          <w:sz w:val="20"/>
          <w:szCs w:val="20"/>
        </w:rPr>
        <w:t xml:space="preserve"> PAHs and their toxic equivalent factors (TEFs).</w:t>
      </w:r>
    </w:p>
    <w:tbl>
      <w:tblPr>
        <w:tblStyle w:val="TableGridLight"/>
        <w:tblW w:w="10680" w:type="dxa"/>
        <w:tblInd w:w="-568" w:type="dxa"/>
        <w:tblLook w:val="04A0" w:firstRow="1" w:lastRow="0" w:firstColumn="1" w:lastColumn="0" w:noHBand="0" w:noVBand="1"/>
      </w:tblPr>
      <w:tblGrid>
        <w:gridCol w:w="3606"/>
        <w:gridCol w:w="2012"/>
        <w:gridCol w:w="2956"/>
        <w:gridCol w:w="2106"/>
      </w:tblGrid>
      <w:tr w:rsidR="00F85E3E" w:rsidRPr="00424F15" w:rsidTr="00BE2219">
        <w:trPr>
          <w:trHeight w:val="167"/>
        </w:trPr>
        <w:tc>
          <w:tcPr>
            <w:tcW w:w="36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PAHs</w:t>
            </w:r>
          </w:p>
        </w:tc>
        <w:tc>
          <w:tcPr>
            <w:tcW w:w="2012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TEF</w:t>
            </w:r>
          </w:p>
        </w:tc>
        <w:tc>
          <w:tcPr>
            <w:tcW w:w="295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PAHs</w:t>
            </w:r>
          </w:p>
        </w:tc>
        <w:tc>
          <w:tcPr>
            <w:tcW w:w="21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TEF</w:t>
            </w:r>
          </w:p>
        </w:tc>
      </w:tr>
      <w:tr w:rsidR="00F85E3E" w:rsidRPr="00424F15" w:rsidTr="00BE2219">
        <w:trPr>
          <w:trHeight w:val="289"/>
        </w:trPr>
        <w:tc>
          <w:tcPr>
            <w:tcW w:w="36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b/>
                <w:sz w:val="20"/>
                <w:szCs w:val="20"/>
              </w:rPr>
              <w:t>Benzo(a)pyrene (BaP)</w:t>
            </w:r>
          </w:p>
        </w:tc>
        <w:tc>
          <w:tcPr>
            <w:tcW w:w="2012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95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Anthracene (A)</w:t>
            </w:r>
          </w:p>
        </w:tc>
        <w:tc>
          <w:tcPr>
            <w:tcW w:w="21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</w:tr>
      <w:tr w:rsidR="00F85E3E" w:rsidRPr="00424F15" w:rsidTr="00BE2219">
        <w:trPr>
          <w:trHeight w:val="436"/>
        </w:trPr>
        <w:tc>
          <w:tcPr>
            <w:tcW w:w="36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b/>
                <w:sz w:val="20"/>
                <w:szCs w:val="20"/>
              </w:rPr>
              <w:t>Dibenz(a,h)anthracene (DahA)</w:t>
            </w:r>
          </w:p>
        </w:tc>
        <w:tc>
          <w:tcPr>
            <w:tcW w:w="2012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95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Naphthalene (NA)</w:t>
            </w:r>
          </w:p>
        </w:tc>
        <w:tc>
          <w:tcPr>
            <w:tcW w:w="21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F85E3E" w:rsidRPr="00424F15" w:rsidTr="00BE2219">
        <w:trPr>
          <w:trHeight w:val="506"/>
        </w:trPr>
        <w:tc>
          <w:tcPr>
            <w:tcW w:w="36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b/>
                <w:sz w:val="20"/>
                <w:szCs w:val="20"/>
              </w:rPr>
              <w:t>Benzo(k)fluoranthene (BkF)</w:t>
            </w:r>
          </w:p>
        </w:tc>
        <w:tc>
          <w:tcPr>
            <w:tcW w:w="2012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295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Acenaphthylene (AC)</w:t>
            </w:r>
          </w:p>
        </w:tc>
        <w:tc>
          <w:tcPr>
            <w:tcW w:w="21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F85E3E" w:rsidRPr="00424F15" w:rsidTr="00BE2219">
        <w:trPr>
          <w:trHeight w:val="576"/>
        </w:trPr>
        <w:tc>
          <w:tcPr>
            <w:tcW w:w="36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b/>
                <w:sz w:val="20"/>
                <w:szCs w:val="20"/>
              </w:rPr>
              <w:t>Indeno(l,2,3-cd)pyrene (IcdP)</w:t>
            </w:r>
          </w:p>
        </w:tc>
        <w:tc>
          <w:tcPr>
            <w:tcW w:w="2012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295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Acenaphthene (ACE)</w:t>
            </w:r>
          </w:p>
        </w:tc>
        <w:tc>
          <w:tcPr>
            <w:tcW w:w="21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F85E3E" w:rsidRPr="00424F15" w:rsidTr="00BE2219">
        <w:trPr>
          <w:trHeight w:val="211"/>
        </w:trPr>
        <w:tc>
          <w:tcPr>
            <w:tcW w:w="36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b/>
                <w:sz w:val="20"/>
                <w:szCs w:val="20"/>
              </w:rPr>
              <w:t>Benz(a)anthracene (BaA)</w:t>
            </w:r>
          </w:p>
        </w:tc>
        <w:tc>
          <w:tcPr>
            <w:tcW w:w="2012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295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Phenanthrene (PHE)</w:t>
            </w:r>
          </w:p>
        </w:tc>
        <w:tc>
          <w:tcPr>
            <w:tcW w:w="21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F85E3E" w:rsidRPr="00424F15" w:rsidTr="00BE2219">
        <w:trPr>
          <w:trHeight w:val="194"/>
        </w:trPr>
        <w:tc>
          <w:tcPr>
            <w:tcW w:w="36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b/>
                <w:sz w:val="20"/>
                <w:szCs w:val="20"/>
              </w:rPr>
              <w:t>Benzo(b)fluoranthene (BbF)</w:t>
            </w:r>
          </w:p>
        </w:tc>
        <w:tc>
          <w:tcPr>
            <w:tcW w:w="2012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295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Fluorine (FLO)</w:t>
            </w:r>
          </w:p>
        </w:tc>
        <w:tc>
          <w:tcPr>
            <w:tcW w:w="21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F85E3E" w:rsidRPr="00424F15" w:rsidTr="00BE2219">
        <w:trPr>
          <w:trHeight w:val="80"/>
        </w:trPr>
        <w:tc>
          <w:tcPr>
            <w:tcW w:w="36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b/>
                <w:sz w:val="20"/>
                <w:szCs w:val="20"/>
              </w:rPr>
              <w:t>Chrysene (CHR)</w:t>
            </w:r>
          </w:p>
        </w:tc>
        <w:tc>
          <w:tcPr>
            <w:tcW w:w="2012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295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Pyrene (PYR)</w:t>
            </w:r>
          </w:p>
        </w:tc>
        <w:tc>
          <w:tcPr>
            <w:tcW w:w="21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F85E3E" w:rsidRPr="00424F15" w:rsidTr="00BE2219">
        <w:trPr>
          <w:trHeight w:val="42"/>
        </w:trPr>
        <w:tc>
          <w:tcPr>
            <w:tcW w:w="36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b/>
                <w:sz w:val="20"/>
                <w:szCs w:val="20"/>
              </w:rPr>
              <w:t>Benzo(g,h,i)perylene (BghiP)</w:t>
            </w:r>
          </w:p>
        </w:tc>
        <w:tc>
          <w:tcPr>
            <w:tcW w:w="2012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295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Fluoranthene (FL)</w:t>
            </w:r>
          </w:p>
        </w:tc>
        <w:tc>
          <w:tcPr>
            <w:tcW w:w="2106" w:type="dxa"/>
            <w:vAlign w:val="center"/>
          </w:tcPr>
          <w:p w:rsidR="00F85E3E" w:rsidRPr="00424F15" w:rsidRDefault="00F85E3E" w:rsidP="00BE2219">
            <w:pPr>
              <w:shd w:val="clear" w:color="auto" w:fill="FFFFFF" w:themeFill="background1"/>
              <w:ind w:left="14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24F1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</w:tbl>
    <w:p w:rsidR="00F85E3E" w:rsidRPr="00424F15" w:rsidRDefault="00F85E3E" w:rsidP="00F85E3E">
      <w:pPr>
        <w:shd w:val="clear" w:color="auto" w:fill="FFFFFF" w:themeFill="background1"/>
        <w:spacing w:after="100" w:line="360" w:lineRule="auto"/>
        <w:jc w:val="both"/>
        <w:rPr>
          <w:rFonts w:asciiTheme="majorBidi" w:eastAsia="Calibri" w:hAnsiTheme="majorBidi" w:cstheme="majorBidi"/>
          <w:sz w:val="20"/>
          <w:szCs w:val="20"/>
          <w:lang w:bidi="fa-IR"/>
        </w:rPr>
      </w:pPr>
    </w:p>
    <w:p w:rsidR="00F85E3E" w:rsidRPr="00424F15" w:rsidRDefault="00F85E3E" w:rsidP="00F85E3E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85E3E" w:rsidRPr="00424F15" w:rsidRDefault="00F85E3E" w:rsidP="00F85E3E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  <w:r w:rsidRPr="00424F15">
        <w:rPr>
          <w:rFonts w:asciiTheme="majorBidi" w:hAnsiTheme="majorBidi" w:cstheme="majorBidi"/>
          <w:b/>
          <w:bCs/>
          <w:sz w:val="20"/>
          <w:szCs w:val="20"/>
        </w:rPr>
        <w:t xml:space="preserve">Table S3. </w:t>
      </w:r>
      <w:r w:rsidRPr="00424F15">
        <w:rPr>
          <w:rFonts w:asciiTheme="majorBidi" w:hAnsiTheme="majorBidi" w:cstheme="majorBidi"/>
          <w:sz w:val="20"/>
          <w:szCs w:val="20"/>
        </w:rPr>
        <w:t>Reproducibility relative standard deviation (RSDR; n = 6), repeatability relative standard deviation (RSDr; n = 6), Recoveries, Linear range, LOQ, LOD, and Coefficient of estimation (r2).</w:t>
      </w:r>
    </w:p>
    <w:tbl>
      <w:tblPr>
        <w:tblStyle w:val="TableGridLight"/>
        <w:tblpPr w:leftFromText="180" w:rightFromText="180" w:vertAnchor="text" w:tblpXSpec="center" w:tblpY="1"/>
        <w:tblW w:w="5000" w:type="pct"/>
        <w:tblLook w:val="04A0" w:firstRow="1" w:lastRow="0" w:firstColumn="1" w:lastColumn="0" w:noHBand="0" w:noVBand="1"/>
      </w:tblPr>
      <w:tblGrid>
        <w:gridCol w:w="1096"/>
        <w:gridCol w:w="780"/>
        <w:gridCol w:w="974"/>
        <w:gridCol w:w="1389"/>
        <w:gridCol w:w="1128"/>
        <w:gridCol w:w="1116"/>
        <w:gridCol w:w="1335"/>
        <w:gridCol w:w="1532"/>
      </w:tblGrid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Target compound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Linear range (µg/L)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Limit of detection (LOD) (µg/L)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Limit of quantification (LOQ) (µg/L)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Coefficient of estimation (r2)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Recoveries (%)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Repeatability (RSDr) (%)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Reproducibility (RSDR) (%)*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Na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0.08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0.24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0.988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100.4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8.2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8, 9, 12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Ace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0.12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0.995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94.8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8.9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8, 12, 16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Ac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0.07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0.21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0.992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98.2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7.3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6, 11,15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0.06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0.18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0.997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100.5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6.8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5, 10, 12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Ph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0.12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0.989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98.6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6.2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6, 9, 11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0.09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0.990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93.3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9.8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9, 13, 17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Fl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0.05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0.15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0.996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99.6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6.9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6, 8, 11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P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0.12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0.987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102.4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7.5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7, 12, 13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B(a)A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0.09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0.27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0.991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97.2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7, 9, 12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Ch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0.16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0.48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0.994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97.7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8.7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8, 11, 17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B(b)F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0.13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0.39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0.995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100.8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8.9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9, 10, 14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B(k)F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0.08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0.24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0.990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96.6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8.1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7, 13, 17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B(a)P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0.06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0.18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0.992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101.6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10.3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10, 14, 17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D(h)A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0.14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0.42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0.989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99.3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9.5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9, 13, 16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B(g)P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0.28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0.84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0.991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94.8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8.8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8, 10, 14</w:t>
            </w:r>
          </w:p>
        </w:tc>
      </w:tr>
      <w:tr w:rsidR="00F85E3E" w:rsidRPr="00662E58" w:rsidTr="00BE2219">
        <w:tc>
          <w:tcPr>
            <w:tcW w:w="586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I(cd)P</w:t>
            </w:r>
          </w:p>
        </w:tc>
        <w:tc>
          <w:tcPr>
            <w:tcW w:w="41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0.005-10</w:t>
            </w:r>
          </w:p>
        </w:tc>
        <w:tc>
          <w:tcPr>
            <w:tcW w:w="521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0.21</w:t>
            </w:r>
          </w:p>
        </w:tc>
        <w:tc>
          <w:tcPr>
            <w:tcW w:w="743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0.63</w:t>
            </w:r>
          </w:p>
        </w:tc>
        <w:tc>
          <w:tcPr>
            <w:tcW w:w="603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0.993</w:t>
            </w:r>
          </w:p>
        </w:tc>
        <w:tc>
          <w:tcPr>
            <w:tcW w:w="597" w:type="pct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96.1</w:t>
            </w:r>
          </w:p>
        </w:tc>
        <w:tc>
          <w:tcPr>
            <w:tcW w:w="714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8.7</w:t>
            </w:r>
          </w:p>
        </w:tc>
        <w:tc>
          <w:tcPr>
            <w:tcW w:w="819" w:type="pct"/>
          </w:tcPr>
          <w:p w:rsidR="00F85E3E" w:rsidRPr="00662E58" w:rsidRDefault="00F85E3E" w:rsidP="00BE2219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8, 11, 14</w:t>
            </w:r>
          </w:p>
        </w:tc>
      </w:tr>
      <w:tr w:rsidR="00F85E3E" w:rsidRPr="00662E58" w:rsidTr="00BE2219">
        <w:tc>
          <w:tcPr>
            <w:tcW w:w="5000" w:type="pct"/>
            <w:gridSpan w:val="8"/>
          </w:tcPr>
          <w:p w:rsidR="00F85E3E" w:rsidRPr="00662E58" w:rsidRDefault="00F85E3E" w:rsidP="00BE221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62E58">
              <w:rPr>
                <w:rFonts w:asciiTheme="majorBidi" w:hAnsiTheme="majorBidi" w:cstheme="majorBidi"/>
                <w:sz w:val="18"/>
                <w:szCs w:val="18"/>
              </w:rPr>
              <w:t>*RSDR of 1 µg/L, 5 µg/L, and 10 µg/L standard value (n = 6)</w:t>
            </w:r>
          </w:p>
        </w:tc>
      </w:tr>
    </w:tbl>
    <w:p w:rsidR="00F85E3E" w:rsidRPr="00424F15" w:rsidRDefault="00F85E3E" w:rsidP="00F85E3E">
      <w:pPr>
        <w:spacing w:line="360" w:lineRule="auto"/>
        <w:rPr>
          <w:rFonts w:asciiTheme="majorBidi" w:hAnsiTheme="majorBidi" w:cstheme="majorBidi"/>
          <w:sz w:val="20"/>
          <w:szCs w:val="20"/>
        </w:rPr>
      </w:pPr>
    </w:p>
    <w:p w:rsidR="00F85E3E" w:rsidRDefault="00F85E3E">
      <w:bookmarkStart w:id="0" w:name="_GoBack"/>
      <w:bookmarkEnd w:id="0"/>
    </w:p>
    <w:sectPr w:rsidR="00F85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E3E"/>
    <w:rsid w:val="0007695B"/>
    <w:rsid w:val="005615C6"/>
    <w:rsid w:val="005E078B"/>
    <w:rsid w:val="007D4061"/>
    <w:rsid w:val="008B4EED"/>
    <w:rsid w:val="00B03778"/>
    <w:rsid w:val="00CD1A17"/>
    <w:rsid w:val="00EE3FE5"/>
    <w:rsid w:val="00EF5283"/>
    <w:rsid w:val="00F8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8E604"/>
  <w15:chartTrackingRefBased/>
  <w15:docId w15:val="{4E476B8D-C9E3-40A7-A9F2-1CA2368E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F85E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Company>Springer Nature IT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2022-07-05T05:25:00Z</dcterms:created>
  <dcterms:modified xsi:type="dcterms:W3CDTF">2022-07-05T05:26:00Z</dcterms:modified>
</cp:coreProperties>
</file>