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CDA43" w14:textId="77777777" w:rsidR="00F07993" w:rsidRDefault="00F07993" w:rsidP="00F07993">
      <w:pPr>
        <w:spacing w:line="360" w:lineRule="auto"/>
        <w:jc w:val="both"/>
        <w:rPr>
          <w:b/>
          <w:bCs/>
        </w:rPr>
      </w:pPr>
      <w:r>
        <w:rPr>
          <w:b/>
          <w:bCs/>
        </w:rPr>
        <w:t>Supporting Information</w:t>
      </w:r>
    </w:p>
    <w:p w14:paraId="3037601A" w14:textId="77777777" w:rsidR="00F07993" w:rsidRDefault="00F07993" w:rsidP="00F07993">
      <w:pPr>
        <w:spacing w:line="360" w:lineRule="auto"/>
        <w:jc w:val="both"/>
        <w:rPr>
          <w:b/>
          <w:bCs/>
        </w:rPr>
      </w:pPr>
    </w:p>
    <w:p w14:paraId="36D62521" w14:textId="77777777" w:rsidR="005A2787" w:rsidRPr="00F91BEA" w:rsidRDefault="005A2787" w:rsidP="005A2787">
      <w:pPr>
        <w:spacing w:line="360" w:lineRule="auto"/>
        <w:jc w:val="both"/>
        <w:rPr>
          <w:rFonts w:ascii="Calibri" w:hAnsi="Calibri" w:cs="Calibri"/>
          <w:b/>
        </w:rPr>
      </w:pPr>
      <w:r w:rsidRPr="00F91BEA">
        <w:rPr>
          <w:rFonts w:ascii="Calibri" w:hAnsi="Calibri" w:cs="Calibri"/>
          <w:b/>
        </w:rPr>
        <w:t xml:space="preserve">Discovery and structural characterization of </w:t>
      </w:r>
      <w:proofErr w:type="spellStart"/>
      <w:r w:rsidRPr="00F91BEA">
        <w:rPr>
          <w:rFonts w:ascii="Calibri" w:hAnsi="Calibri" w:cs="Calibri"/>
          <w:b/>
        </w:rPr>
        <w:t>chicoric</w:t>
      </w:r>
      <w:proofErr w:type="spellEnd"/>
      <w:r w:rsidRPr="00F91BEA">
        <w:rPr>
          <w:rFonts w:ascii="Calibri" w:hAnsi="Calibri" w:cs="Calibri"/>
          <w:b/>
        </w:rPr>
        <w:t xml:space="preserve"> acid as a SARS-CoV-2 nucleocapsid protein ligand</w:t>
      </w:r>
      <w:r>
        <w:rPr>
          <w:rFonts w:ascii="Calibri" w:hAnsi="Calibri" w:cs="Calibri"/>
          <w:b/>
        </w:rPr>
        <w:t xml:space="preserve"> and RNA binding disruptor</w:t>
      </w:r>
    </w:p>
    <w:p w14:paraId="505B2932" w14:textId="77777777" w:rsidR="005A2787" w:rsidRPr="00F91BEA" w:rsidRDefault="005A2787" w:rsidP="005A2787">
      <w:pPr>
        <w:spacing w:line="360" w:lineRule="auto"/>
        <w:rPr>
          <w:rFonts w:ascii="Calibri" w:hAnsi="Calibri" w:cs="Calibri"/>
        </w:rPr>
      </w:pPr>
    </w:p>
    <w:p w14:paraId="54484492" w14:textId="278B7EF0" w:rsidR="005A2787" w:rsidRDefault="005A2787" w:rsidP="005A2787">
      <w:pPr>
        <w:spacing w:line="360" w:lineRule="auto"/>
        <w:jc w:val="both"/>
        <w:rPr>
          <w:rFonts w:ascii="Calibri" w:hAnsi="Calibri" w:cs="Calibri"/>
          <w:lang w:val="pt-BR"/>
        </w:rPr>
      </w:pPr>
      <w:r w:rsidRPr="75F8CEC7">
        <w:rPr>
          <w:rFonts w:ascii="Calibri" w:hAnsi="Calibri" w:cs="Calibri"/>
          <w:lang w:val="pt-BR"/>
        </w:rPr>
        <w:t>Gustavo Fernando Mercaldi</w:t>
      </w:r>
      <w:r w:rsidRPr="75F8CEC7">
        <w:rPr>
          <w:rFonts w:ascii="Calibri" w:hAnsi="Calibri" w:cs="Calibri"/>
          <w:vertAlign w:val="superscript"/>
          <w:lang w:val="pt-BR"/>
        </w:rPr>
        <w:t>1a</w:t>
      </w:r>
      <w:r w:rsidRPr="75F8CEC7">
        <w:rPr>
          <w:rFonts w:ascii="Calibri" w:hAnsi="Calibri" w:cs="Calibri"/>
          <w:lang w:val="pt-BR"/>
        </w:rPr>
        <w:t xml:space="preserve">, Eduardo Henrique </w:t>
      </w:r>
      <w:proofErr w:type="spellStart"/>
      <w:r w:rsidRPr="75F8CEC7">
        <w:rPr>
          <w:rFonts w:ascii="Calibri" w:hAnsi="Calibri" w:cs="Calibri"/>
          <w:lang w:val="pt-BR"/>
        </w:rPr>
        <w:t>Salviano</w:t>
      </w:r>
      <w:proofErr w:type="spellEnd"/>
      <w:r w:rsidRPr="75F8CEC7">
        <w:rPr>
          <w:rFonts w:ascii="Calibri" w:hAnsi="Calibri" w:cs="Calibri"/>
          <w:lang w:val="pt-BR"/>
        </w:rPr>
        <w:t xml:space="preserve"> Bezerra</w:t>
      </w:r>
      <w:r w:rsidRPr="75F8CEC7">
        <w:rPr>
          <w:rFonts w:ascii="Calibri" w:hAnsi="Calibri" w:cs="Calibri"/>
          <w:vertAlign w:val="superscript"/>
          <w:lang w:val="pt-BR"/>
        </w:rPr>
        <w:t>1a</w:t>
      </w:r>
      <w:r w:rsidRPr="75F8CEC7">
        <w:rPr>
          <w:rFonts w:ascii="Calibri" w:hAnsi="Calibri" w:cs="Calibri"/>
          <w:lang w:val="pt-BR"/>
        </w:rPr>
        <w:t>, Fernanda Aparecida Heleno Batista</w:t>
      </w:r>
      <w:r w:rsidRPr="75F8CEC7">
        <w:rPr>
          <w:rFonts w:ascii="Calibri" w:hAnsi="Calibri" w:cs="Calibri"/>
          <w:vertAlign w:val="superscript"/>
          <w:lang w:val="pt-BR"/>
        </w:rPr>
        <w:t>1a</w:t>
      </w:r>
      <w:r w:rsidRPr="75F8CEC7">
        <w:rPr>
          <w:rFonts w:ascii="Calibri" w:hAnsi="Calibri" w:cs="Calibri"/>
          <w:lang w:val="pt-BR"/>
        </w:rPr>
        <w:t xml:space="preserve">, </w:t>
      </w:r>
      <w:proofErr w:type="spellStart"/>
      <w:r w:rsidRPr="75F8CEC7">
        <w:rPr>
          <w:rFonts w:ascii="Calibri" w:hAnsi="Calibri" w:cs="Calibri"/>
          <w:lang w:val="pt-BR"/>
        </w:rPr>
        <w:t>Celisa</w:t>
      </w:r>
      <w:proofErr w:type="spellEnd"/>
      <w:r w:rsidRPr="75F8CEC7">
        <w:rPr>
          <w:rFonts w:ascii="Calibri" w:hAnsi="Calibri" w:cs="Calibri"/>
          <w:lang w:val="pt-BR"/>
        </w:rPr>
        <w:t xml:space="preserve"> </w:t>
      </w:r>
      <w:proofErr w:type="spellStart"/>
      <w:r w:rsidRPr="75F8CEC7">
        <w:rPr>
          <w:rFonts w:ascii="Calibri" w:hAnsi="Calibri" w:cs="Calibri"/>
          <w:lang w:val="pt-BR"/>
        </w:rPr>
        <w:t>Caldana</w:t>
      </w:r>
      <w:proofErr w:type="spellEnd"/>
      <w:r w:rsidRPr="75F8CEC7">
        <w:rPr>
          <w:rFonts w:ascii="Calibri" w:hAnsi="Calibri" w:cs="Calibri"/>
          <w:lang w:val="pt-BR"/>
        </w:rPr>
        <w:t xml:space="preserve"> Costa Tonoli</w:t>
      </w:r>
      <w:r w:rsidRPr="75F8CEC7">
        <w:rPr>
          <w:rFonts w:ascii="Calibri" w:hAnsi="Calibri" w:cs="Calibri"/>
          <w:vertAlign w:val="superscript"/>
          <w:lang w:val="pt-BR"/>
        </w:rPr>
        <w:t>1</w:t>
      </w:r>
      <w:r w:rsidRPr="75F8CEC7">
        <w:rPr>
          <w:rFonts w:ascii="Calibri" w:hAnsi="Calibri" w:cs="Calibri"/>
          <w:lang w:val="pt-BR"/>
        </w:rPr>
        <w:t>, Adriana Santos Soprano</w:t>
      </w:r>
      <w:r w:rsidRPr="75F8CEC7">
        <w:rPr>
          <w:rFonts w:ascii="Calibri" w:hAnsi="Calibri" w:cs="Calibri"/>
          <w:vertAlign w:val="superscript"/>
          <w:lang w:val="pt-BR"/>
        </w:rPr>
        <w:t>1</w:t>
      </w:r>
      <w:r w:rsidRPr="75F8CEC7">
        <w:rPr>
          <w:rFonts w:ascii="Calibri" w:hAnsi="Calibri" w:cs="Calibri"/>
          <w:lang w:val="pt-BR"/>
        </w:rPr>
        <w:t>, Jacqueline Farinha Shimizu</w:t>
      </w:r>
      <w:r w:rsidRPr="75F8CEC7">
        <w:rPr>
          <w:rFonts w:ascii="Calibri" w:hAnsi="Calibri" w:cs="Calibri"/>
          <w:vertAlign w:val="superscript"/>
          <w:lang w:val="pt-BR"/>
        </w:rPr>
        <w:t>1</w:t>
      </w:r>
      <w:r w:rsidRPr="75F8CEC7">
        <w:rPr>
          <w:rFonts w:ascii="Calibri" w:hAnsi="Calibri" w:cs="Calibri"/>
          <w:lang w:val="pt-BR"/>
        </w:rPr>
        <w:t>, Alice Nagai</w:t>
      </w:r>
      <w:r w:rsidRPr="75F8CEC7">
        <w:rPr>
          <w:rFonts w:ascii="Calibri" w:hAnsi="Calibri" w:cs="Calibri"/>
          <w:vertAlign w:val="superscript"/>
          <w:lang w:val="pt-BR"/>
        </w:rPr>
        <w:t>1</w:t>
      </w:r>
      <w:r w:rsidRPr="75F8CEC7">
        <w:rPr>
          <w:rFonts w:ascii="Calibri" w:hAnsi="Calibri" w:cs="Calibri"/>
          <w:lang w:val="pt-BR"/>
        </w:rPr>
        <w:t>, Jaqueline Cristina da Silva</w:t>
      </w:r>
      <w:r w:rsidRPr="75F8CEC7">
        <w:rPr>
          <w:rFonts w:ascii="Calibri" w:hAnsi="Calibri" w:cs="Calibri"/>
          <w:vertAlign w:val="superscript"/>
          <w:lang w:val="pt-BR"/>
        </w:rPr>
        <w:t>1</w:t>
      </w:r>
      <w:r w:rsidRPr="75F8CEC7">
        <w:rPr>
          <w:rFonts w:ascii="Calibri" w:hAnsi="Calibri" w:cs="Calibri"/>
          <w:lang w:val="pt-BR"/>
        </w:rPr>
        <w:t>,</w:t>
      </w:r>
      <w:r w:rsidRPr="07A629BD">
        <w:rPr>
          <w:rFonts w:ascii="Calibri" w:hAnsi="Calibri" w:cs="Calibri"/>
          <w:lang w:val="pt-BR"/>
        </w:rPr>
        <w:t xml:space="preserve"> </w:t>
      </w:r>
      <w:r w:rsidRPr="75F8CEC7">
        <w:rPr>
          <w:rFonts w:ascii="Calibri" w:hAnsi="Calibri" w:cs="Calibri"/>
          <w:lang w:val="pt-BR"/>
        </w:rPr>
        <w:t>Helder Veras Ribeiro Filho</w:t>
      </w:r>
      <w:r w:rsidRPr="75F8CEC7">
        <w:rPr>
          <w:rFonts w:ascii="Calibri" w:hAnsi="Calibri" w:cs="Calibri"/>
          <w:vertAlign w:val="superscript"/>
          <w:lang w:val="pt-BR"/>
        </w:rPr>
        <w:t>1</w:t>
      </w:r>
      <w:r w:rsidRPr="75F8CEC7">
        <w:rPr>
          <w:rFonts w:ascii="Calibri" w:hAnsi="Calibri" w:cs="Calibri"/>
          <w:lang w:val="pt-BR"/>
        </w:rPr>
        <w:t>, Jéssica do Nascimento Faria</w:t>
      </w:r>
      <w:r w:rsidRPr="75F8CEC7">
        <w:rPr>
          <w:rFonts w:ascii="Calibri" w:hAnsi="Calibri" w:cs="Calibri"/>
          <w:vertAlign w:val="superscript"/>
          <w:lang w:val="pt-BR"/>
        </w:rPr>
        <w:t>1</w:t>
      </w:r>
      <w:r w:rsidRPr="75F8CEC7">
        <w:rPr>
          <w:rFonts w:ascii="Calibri" w:hAnsi="Calibri" w:cs="Calibri"/>
          <w:lang w:val="pt-BR"/>
        </w:rPr>
        <w:t>, Marcos Guilherme da Cunha</w:t>
      </w:r>
      <w:r w:rsidRPr="75F8CEC7">
        <w:rPr>
          <w:rFonts w:ascii="Calibri" w:hAnsi="Calibri" w:cs="Calibri"/>
          <w:vertAlign w:val="superscript"/>
          <w:lang w:val="pt-BR"/>
        </w:rPr>
        <w:t>1</w:t>
      </w:r>
      <w:r w:rsidRPr="75F8CEC7">
        <w:rPr>
          <w:rFonts w:ascii="Calibri" w:hAnsi="Calibri" w:cs="Calibri"/>
          <w:lang w:val="pt-BR"/>
        </w:rPr>
        <w:t xml:space="preserve">, </w:t>
      </w:r>
      <w:r>
        <w:rPr>
          <w:rFonts w:ascii="Calibri" w:hAnsi="Calibri" w:cs="Calibri"/>
          <w:lang w:val="pt-BR"/>
        </w:rPr>
        <w:t>Ana Carolina Mattos Zeri</w:t>
      </w:r>
      <w:r>
        <w:rPr>
          <w:rFonts w:ascii="Calibri" w:hAnsi="Calibri" w:cs="Calibri"/>
          <w:vertAlign w:val="superscript"/>
          <w:lang w:val="pt-BR"/>
        </w:rPr>
        <w:t>2</w:t>
      </w:r>
      <w:r>
        <w:rPr>
          <w:rFonts w:ascii="Calibri" w:hAnsi="Calibri" w:cs="Calibri"/>
          <w:lang w:val="pt-BR"/>
        </w:rPr>
        <w:t>, Andrey Ziem Nascimento</w:t>
      </w:r>
      <w:r>
        <w:rPr>
          <w:rFonts w:ascii="Calibri" w:hAnsi="Calibri" w:cs="Calibri"/>
          <w:vertAlign w:val="superscript"/>
          <w:lang w:val="pt-BR"/>
        </w:rPr>
        <w:t>2</w:t>
      </w:r>
      <w:r>
        <w:rPr>
          <w:rFonts w:ascii="Calibri" w:hAnsi="Calibri" w:cs="Calibri"/>
          <w:lang w:val="pt-BR"/>
        </w:rPr>
        <w:t xml:space="preserve">, José </w:t>
      </w:r>
      <w:r w:rsidRPr="00BA7778">
        <w:rPr>
          <w:rFonts w:ascii="Calibri" w:hAnsi="Calibri" w:cs="Calibri"/>
          <w:lang w:val="pt-BR"/>
        </w:rPr>
        <w:t>Luiz Proen</w:t>
      </w:r>
      <w:r>
        <w:rPr>
          <w:rFonts w:ascii="Calibri" w:hAnsi="Calibri" w:cs="Calibri"/>
          <w:lang w:val="pt-BR"/>
        </w:rPr>
        <w:t>c</w:t>
      </w:r>
      <w:r w:rsidRPr="00BA7778">
        <w:rPr>
          <w:rFonts w:ascii="Calibri" w:hAnsi="Calibri" w:cs="Calibri"/>
          <w:lang w:val="pt-BR"/>
        </w:rPr>
        <w:t>a-M</w:t>
      </w:r>
      <w:r>
        <w:rPr>
          <w:rFonts w:ascii="Calibri" w:hAnsi="Calibri" w:cs="Calibri"/>
          <w:lang w:val="pt-BR"/>
        </w:rPr>
        <w:t>o</w:t>
      </w:r>
      <w:r w:rsidRPr="00BA7778">
        <w:rPr>
          <w:rFonts w:ascii="Calibri" w:hAnsi="Calibri" w:cs="Calibri"/>
          <w:lang w:val="pt-BR"/>
        </w:rPr>
        <w:t>dena</w:t>
      </w:r>
      <w:r>
        <w:rPr>
          <w:rFonts w:ascii="Calibri" w:hAnsi="Calibri" w:cs="Calibri"/>
          <w:vertAlign w:val="superscript"/>
          <w:lang w:val="pt-BR"/>
        </w:rPr>
        <w:t>3,4</w:t>
      </w:r>
      <w:r w:rsidRPr="00BA7778">
        <w:rPr>
          <w:rFonts w:ascii="Calibri" w:hAnsi="Calibri" w:cs="Calibri"/>
          <w:lang w:val="pt-BR"/>
        </w:rPr>
        <w:t>,</w:t>
      </w:r>
      <w:r w:rsidRPr="00BA7778">
        <w:rPr>
          <w:rFonts w:ascii="Helvetica Neue" w:hAnsi="Helvetica Neue" w:cs="Helvetica Neue"/>
          <w:color w:val="3F3F3F"/>
          <w:sz w:val="26"/>
          <w:szCs w:val="26"/>
          <w:lang w:val="pt-BR"/>
        </w:rPr>
        <w:t xml:space="preserve"> </w:t>
      </w:r>
      <w:r w:rsidRPr="75F8CEC7">
        <w:rPr>
          <w:rFonts w:ascii="Calibri" w:hAnsi="Calibri" w:cs="Calibri"/>
          <w:lang w:val="pt-BR"/>
        </w:rPr>
        <w:t xml:space="preserve">Marcio </w:t>
      </w:r>
      <w:proofErr w:type="spellStart"/>
      <w:r w:rsidRPr="75F8CEC7">
        <w:rPr>
          <w:rFonts w:ascii="Calibri" w:hAnsi="Calibri" w:cs="Calibri"/>
          <w:lang w:val="pt-BR"/>
        </w:rPr>
        <w:t>Chaim</w:t>
      </w:r>
      <w:proofErr w:type="spellEnd"/>
      <w:r w:rsidRPr="75F8CEC7">
        <w:rPr>
          <w:rFonts w:ascii="Calibri" w:hAnsi="Calibri" w:cs="Calibri"/>
          <w:lang w:val="pt-BR"/>
        </w:rPr>
        <w:t xml:space="preserve"> Bajgelman</w:t>
      </w:r>
      <w:r w:rsidRPr="75F8CEC7">
        <w:rPr>
          <w:rFonts w:ascii="Calibri" w:hAnsi="Calibri" w:cs="Calibri"/>
          <w:vertAlign w:val="superscript"/>
          <w:lang w:val="pt-BR"/>
        </w:rPr>
        <w:t>1</w:t>
      </w:r>
      <w:r w:rsidRPr="75F8CEC7">
        <w:rPr>
          <w:rFonts w:ascii="Calibri" w:hAnsi="Calibri" w:cs="Calibri"/>
          <w:lang w:val="pt-BR"/>
        </w:rPr>
        <w:t>, Silvana Aparecida Rocco</w:t>
      </w:r>
      <w:r w:rsidRPr="75F8CEC7">
        <w:rPr>
          <w:rFonts w:ascii="Calibri" w:hAnsi="Calibri" w:cs="Calibri"/>
          <w:vertAlign w:val="superscript"/>
          <w:lang w:val="pt-BR"/>
        </w:rPr>
        <w:t>1</w:t>
      </w:r>
      <w:r w:rsidRPr="75F8CEC7">
        <w:rPr>
          <w:rFonts w:ascii="Calibri" w:hAnsi="Calibri" w:cs="Calibri"/>
          <w:lang w:val="pt-BR"/>
        </w:rPr>
        <w:t>, Paulo Sérgio Lopes de Oliveira</w:t>
      </w:r>
      <w:r w:rsidRPr="75F8CEC7">
        <w:rPr>
          <w:rFonts w:ascii="Calibri" w:hAnsi="Calibri" w:cs="Calibri"/>
          <w:vertAlign w:val="superscript"/>
          <w:lang w:val="pt-BR"/>
        </w:rPr>
        <w:t>1</w:t>
      </w:r>
      <w:r w:rsidRPr="75F8CEC7">
        <w:rPr>
          <w:rFonts w:ascii="Calibri" w:hAnsi="Calibri" w:cs="Calibri"/>
          <w:lang w:val="pt-BR"/>
        </w:rPr>
        <w:t>, Artur Torres Cordeiro</w:t>
      </w:r>
      <w:r w:rsidRPr="75F8CEC7">
        <w:rPr>
          <w:rFonts w:ascii="Calibri" w:hAnsi="Calibri" w:cs="Calibri"/>
          <w:vertAlign w:val="superscript"/>
          <w:lang w:val="pt-BR"/>
        </w:rPr>
        <w:t>1</w:t>
      </w:r>
      <w:r w:rsidRPr="75F8CEC7">
        <w:rPr>
          <w:rFonts w:ascii="Calibri" w:hAnsi="Calibri" w:cs="Calibri"/>
          <w:lang w:val="pt-BR"/>
        </w:rPr>
        <w:t xml:space="preserve">, </w:t>
      </w:r>
      <w:proofErr w:type="spellStart"/>
      <w:r w:rsidRPr="75F8CEC7">
        <w:rPr>
          <w:rFonts w:ascii="Calibri" w:hAnsi="Calibri" w:cs="Calibri"/>
          <w:lang w:val="pt-BR"/>
        </w:rPr>
        <w:t>Marjorie</w:t>
      </w:r>
      <w:proofErr w:type="spellEnd"/>
      <w:r w:rsidRPr="75F8CEC7">
        <w:rPr>
          <w:rFonts w:ascii="Calibri" w:hAnsi="Calibri" w:cs="Calibri"/>
          <w:lang w:val="pt-BR"/>
        </w:rPr>
        <w:t xml:space="preserve"> Bruder</w:t>
      </w:r>
      <w:r w:rsidRPr="75F8CEC7">
        <w:rPr>
          <w:rFonts w:ascii="Calibri" w:hAnsi="Calibri" w:cs="Calibri"/>
          <w:vertAlign w:val="superscript"/>
          <w:lang w:val="pt-BR"/>
        </w:rPr>
        <w:t>1</w:t>
      </w:r>
      <w:r w:rsidRPr="75F8CEC7">
        <w:rPr>
          <w:rFonts w:ascii="Calibri" w:hAnsi="Calibri" w:cs="Calibri"/>
          <w:lang w:val="pt-BR"/>
        </w:rPr>
        <w:t>, Rafael Elias Marques</w:t>
      </w:r>
      <w:r w:rsidRPr="75F8CEC7">
        <w:rPr>
          <w:rFonts w:ascii="Calibri" w:hAnsi="Calibri" w:cs="Calibri"/>
          <w:vertAlign w:val="superscript"/>
          <w:lang w:val="pt-BR"/>
        </w:rPr>
        <w:t>1</w:t>
      </w:r>
      <w:r w:rsidRPr="75F8CEC7">
        <w:rPr>
          <w:rFonts w:ascii="Calibri" w:hAnsi="Calibri" w:cs="Calibri"/>
          <w:lang w:val="pt-BR"/>
        </w:rPr>
        <w:t xml:space="preserve">, Mauricio </w:t>
      </w:r>
      <w:proofErr w:type="spellStart"/>
      <w:r w:rsidRPr="75F8CEC7">
        <w:rPr>
          <w:rFonts w:ascii="Calibri" w:hAnsi="Calibri" w:cs="Calibri"/>
          <w:lang w:val="pt-BR"/>
        </w:rPr>
        <w:t>Luis</w:t>
      </w:r>
      <w:proofErr w:type="spellEnd"/>
      <w:r w:rsidRPr="75F8CEC7">
        <w:rPr>
          <w:rFonts w:ascii="Calibri" w:hAnsi="Calibri" w:cs="Calibri"/>
          <w:lang w:val="pt-BR"/>
        </w:rPr>
        <w:t xml:space="preserve"> Sforça</w:t>
      </w:r>
      <w:r w:rsidRPr="75F8CEC7">
        <w:rPr>
          <w:rFonts w:ascii="Calibri" w:hAnsi="Calibri" w:cs="Calibri"/>
          <w:vertAlign w:val="superscript"/>
          <w:lang w:val="pt-BR"/>
        </w:rPr>
        <w:t>1</w:t>
      </w:r>
      <w:r w:rsidRPr="75F8CEC7">
        <w:rPr>
          <w:rFonts w:ascii="Calibri" w:hAnsi="Calibri" w:cs="Calibri"/>
          <w:lang w:val="pt-BR"/>
        </w:rPr>
        <w:t>, Kleber Gomes Franchini</w:t>
      </w:r>
      <w:r w:rsidRPr="75F8CEC7">
        <w:rPr>
          <w:rFonts w:ascii="Calibri" w:hAnsi="Calibri" w:cs="Calibri"/>
          <w:vertAlign w:val="superscript"/>
          <w:lang w:val="pt-BR"/>
        </w:rPr>
        <w:t>1</w:t>
      </w:r>
      <w:r w:rsidRPr="75F8CEC7">
        <w:rPr>
          <w:rFonts w:ascii="Calibri" w:hAnsi="Calibri" w:cs="Calibri"/>
          <w:lang w:val="pt-BR"/>
        </w:rPr>
        <w:t>,</w:t>
      </w:r>
      <w:r w:rsidRPr="75F8CEC7">
        <w:rPr>
          <w:rFonts w:ascii="Calibri" w:hAnsi="Calibri" w:cs="Calibri"/>
          <w:vertAlign w:val="superscript"/>
          <w:lang w:val="pt-BR"/>
        </w:rPr>
        <w:t xml:space="preserve"> </w:t>
      </w:r>
      <w:r w:rsidRPr="75F8CEC7">
        <w:rPr>
          <w:rFonts w:ascii="Calibri" w:hAnsi="Calibri" w:cs="Calibri"/>
          <w:lang w:val="pt-BR"/>
        </w:rPr>
        <w:t>Celso Eduardo Benedetti</w:t>
      </w:r>
      <w:r w:rsidRPr="75F8CEC7">
        <w:rPr>
          <w:rFonts w:ascii="Calibri" w:hAnsi="Calibri" w:cs="Calibri"/>
          <w:vertAlign w:val="superscript"/>
          <w:lang w:val="pt-BR"/>
        </w:rPr>
        <w:t>1</w:t>
      </w:r>
      <w:r w:rsidRPr="75F8CEC7">
        <w:rPr>
          <w:rFonts w:ascii="Calibri" w:hAnsi="Calibri" w:cs="Calibri"/>
          <w:lang w:val="pt-BR"/>
        </w:rPr>
        <w:t>, Ana Carolina Migliorini Figueira</w:t>
      </w:r>
      <w:r w:rsidRPr="75F8CEC7">
        <w:rPr>
          <w:rFonts w:ascii="Calibri" w:hAnsi="Calibri" w:cs="Calibri"/>
          <w:vertAlign w:val="superscript"/>
          <w:lang w:val="pt-BR"/>
        </w:rPr>
        <w:t>1*</w:t>
      </w:r>
      <w:r w:rsidRPr="75F8CEC7">
        <w:rPr>
          <w:rFonts w:ascii="Calibri" w:hAnsi="Calibri" w:cs="Calibri"/>
          <w:lang w:val="pt-BR"/>
        </w:rPr>
        <w:t>, Daniela Barretto Barbosa Trivella</w:t>
      </w:r>
      <w:r w:rsidRPr="75F8CEC7">
        <w:rPr>
          <w:rFonts w:ascii="Calibri" w:hAnsi="Calibri" w:cs="Calibri"/>
          <w:vertAlign w:val="superscript"/>
          <w:lang w:val="pt-BR"/>
        </w:rPr>
        <w:t>1*</w:t>
      </w:r>
    </w:p>
    <w:p w14:paraId="737B73F8" w14:textId="77777777" w:rsidR="005A2787" w:rsidRPr="00A94684" w:rsidRDefault="005A2787" w:rsidP="005A2787">
      <w:pPr>
        <w:spacing w:line="360" w:lineRule="auto"/>
        <w:jc w:val="both"/>
        <w:rPr>
          <w:rFonts w:ascii="Calibri" w:hAnsi="Calibri" w:cs="Calibri"/>
          <w:lang w:val="pt-BR"/>
        </w:rPr>
      </w:pPr>
    </w:p>
    <w:p w14:paraId="621CF69D" w14:textId="77777777" w:rsidR="005A2787" w:rsidRDefault="005A2787" w:rsidP="005A2787">
      <w:pPr>
        <w:spacing w:line="480" w:lineRule="auto"/>
        <w:jc w:val="both"/>
        <w:rPr>
          <w:rFonts w:ascii="Calibri" w:eastAsiaTheme="minorEastAsia" w:hAnsi="Calibri" w:cs="Calibri"/>
        </w:rPr>
      </w:pPr>
      <w:r w:rsidRPr="00F91BEA">
        <w:rPr>
          <w:rFonts w:ascii="Calibri" w:eastAsiaTheme="minorEastAsia" w:hAnsi="Calibri" w:cs="Calibri"/>
          <w:vertAlign w:val="superscript"/>
        </w:rPr>
        <w:t>1</w:t>
      </w:r>
      <w:r w:rsidRPr="00F91BEA">
        <w:rPr>
          <w:rFonts w:ascii="Calibri" w:eastAsiaTheme="minorEastAsia" w:hAnsi="Calibri" w:cs="Calibri"/>
        </w:rPr>
        <w:t>Brazilian Biosciences National Laboratory (</w:t>
      </w:r>
      <w:proofErr w:type="spellStart"/>
      <w:r w:rsidRPr="00F91BEA">
        <w:rPr>
          <w:rFonts w:ascii="Calibri" w:eastAsiaTheme="minorEastAsia" w:hAnsi="Calibri" w:cs="Calibri"/>
        </w:rPr>
        <w:t>LNBio</w:t>
      </w:r>
      <w:proofErr w:type="spellEnd"/>
      <w:r w:rsidRPr="00F91BEA">
        <w:rPr>
          <w:rFonts w:ascii="Calibri" w:eastAsiaTheme="minorEastAsia" w:hAnsi="Calibri" w:cs="Calibri"/>
        </w:rPr>
        <w:t>), Brazilian Centre for Research in Energy and Materials (CNPEM), 13083-100, Campinas, SP, Brazil</w:t>
      </w:r>
    </w:p>
    <w:p w14:paraId="0C2DD941" w14:textId="77777777" w:rsidR="005A2787" w:rsidRDefault="005A2787" w:rsidP="005A2787">
      <w:pPr>
        <w:spacing w:line="480" w:lineRule="auto"/>
        <w:jc w:val="both"/>
        <w:rPr>
          <w:rFonts w:ascii="Calibri" w:eastAsiaTheme="minorEastAsia" w:hAnsi="Calibri" w:cs="Calibri"/>
        </w:rPr>
      </w:pPr>
      <w:r>
        <w:rPr>
          <w:rFonts w:ascii="Calibri" w:eastAsiaTheme="minorEastAsia" w:hAnsi="Calibri" w:cs="Calibri"/>
          <w:vertAlign w:val="superscript"/>
        </w:rPr>
        <w:t>2</w:t>
      </w:r>
      <w:r w:rsidRPr="00F91BEA">
        <w:rPr>
          <w:rFonts w:ascii="Calibri" w:eastAsiaTheme="minorEastAsia" w:hAnsi="Calibri" w:cs="Calibri"/>
        </w:rPr>
        <w:t xml:space="preserve">Brazilian </w:t>
      </w:r>
      <w:r>
        <w:rPr>
          <w:rFonts w:ascii="Calibri" w:eastAsiaTheme="minorEastAsia" w:hAnsi="Calibri" w:cs="Calibri"/>
        </w:rPr>
        <w:t>Synchrotron Light Source</w:t>
      </w:r>
      <w:r w:rsidRPr="00F91BEA">
        <w:rPr>
          <w:rFonts w:ascii="Calibri" w:eastAsiaTheme="minorEastAsia" w:hAnsi="Calibri" w:cs="Calibri"/>
        </w:rPr>
        <w:t xml:space="preserve"> (</w:t>
      </w:r>
      <w:r>
        <w:rPr>
          <w:rFonts w:ascii="Calibri" w:eastAsiaTheme="minorEastAsia" w:hAnsi="Calibri" w:cs="Calibri"/>
        </w:rPr>
        <w:t>LNLS</w:t>
      </w:r>
      <w:r w:rsidRPr="00F91BEA">
        <w:rPr>
          <w:rFonts w:ascii="Calibri" w:eastAsiaTheme="minorEastAsia" w:hAnsi="Calibri" w:cs="Calibri"/>
        </w:rPr>
        <w:t>), Brazilian Centre for Research in Energy and Materials (CNPEM), 13083-100, Campinas, SP, Brazil</w:t>
      </w:r>
    </w:p>
    <w:p w14:paraId="55F43B86" w14:textId="77777777" w:rsidR="005A2787" w:rsidRPr="00BA7778" w:rsidRDefault="005A2787" w:rsidP="005A2787">
      <w:pPr>
        <w:spacing w:line="480" w:lineRule="auto"/>
        <w:jc w:val="both"/>
        <w:rPr>
          <w:rFonts w:ascii="Calibri" w:eastAsiaTheme="minorEastAsia" w:hAnsi="Calibri" w:cs="Calibri"/>
        </w:rPr>
      </w:pPr>
      <w:r>
        <w:rPr>
          <w:rFonts w:ascii="Calibri" w:eastAsiaTheme="minorEastAsia" w:hAnsi="Calibri" w:cs="Calibri"/>
          <w:vertAlign w:val="superscript"/>
        </w:rPr>
        <w:t>3</w:t>
      </w:r>
      <w:r w:rsidRPr="00BA7778">
        <w:rPr>
          <w:rFonts w:ascii="Calibri" w:eastAsiaTheme="minorEastAsia" w:hAnsi="Calibri" w:cs="Calibri"/>
        </w:rPr>
        <w:t>Laboratory of Emerging Viruses (LEVE), Department of Genetics, Evolution, Microbiology and Immunology, Institute of Biology, University of Campinas (UNICAMP), Campinas, SP, Brazil</w:t>
      </w:r>
    </w:p>
    <w:p w14:paraId="159C6444" w14:textId="77777777" w:rsidR="005A2787" w:rsidRPr="00F91BEA" w:rsidRDefault="005A2787" w:rsidP="005A2787">
      <w:pPr>
        <w:spacing w:line="480" w:lineRule="auto"/>
        <w:jc w:val="both"/>
        <w:rPr>
          <w:rFonts w:ascii="Calibri" w:eastAsiaTheme="minorEastAsia" w:hAnsi="Calibri" w:cs="Calibri"/>
        </w:rPr>
      </w:pPr>
      <w:r>
        <w:rPr>
          <w:rFonts w:ascii="Calibri" w:eastAsiaTheme="minorEastAsia" w:hAnsi="Calibri" w:cs="Calibri"/>
          <w:vertAlign w:val="superscript"/>
        </w:rPr>
        <w:t>4</w:t>
      </w:r>
      <w:r>
        <w:rPr>
          <w:rFonts w:ascii="Calibri" w:eastAsiaTheme="minorEastAsia" w:hAnsi="Calibri" w:cs="Calibri"/>
        </w:rPr>
        <w:t xml:space="preserve">Hub of Global Health (HGH), </w:t>
      </w:r>
      <w:r w:rsidRPr="00BA7778">
        <w:rPr>
          <w:rFonts w:ascii="Calibri" w:eastAsiaTheme="minorEastAsia" w:hAnsi="Calibri" w:cs="Calibri"/>
        </w:rPr>
        <w:t>University of Campinas (UNICAMP), Campinas, Brazil</w:t>
      </w:r>
    </w:p>
    <w:p w14:paraId="55AB3B93" w14:textId="7EEFF6FB" w:rsidR="00B72E69" w:rsidRPr="00F91BEA" w:rsidRDefault="00254B59" w:rsidP="00B72E69">
      <w:pPr>
        <w:spacing w:line="480" w:lineRule="auto"/>
        <w:jc w:val="both"/>
        <w:rPr>
          <w:rFonts w:ascii="Calibri" w:eastAsiaTheme="minorEastAsia" w:hAnsi="Calibri" w:cs="Calibri"/>
        </w:rPr>
      </w:pPr>
      <w:r w:rsidRPr="00F91BEA">
        <w:rPr>
          <w:rFonts w:ascii="Calibri" w:eastAsiaTheme="minorEastAsia" w:hAnsi="Calibri" w:cs="Calibri"/>
        </w:rPr>
        <w:t xml:space="preserve"> </w:t>
      </w:r>
      <w:proofErr w:type="spellStart"/>
      <w:r w:rsidRPr="00F91BEA">
        <w:rPr>
          <w:rFonts w:ascii="Calibri" w:eastAsiaTheme="minorEastAsia" w:hAnsi="Calibri" w:cs="Calibri"/>
          <w:vertAlign w:val="superscript"/>
        </w:rPr>
        <w:t>a</w:t>
      </w:r>
      <w:proofErr w:type="spellEnd"/>
      <w:r>
        <w:rPr>
          <w:rFonts w:ascii="Calibri" w:eastAsiaTheme="minorEastAsia" w:hAnsi="Calibri" w:cs="Calibri"/>
        </w:rPr>
        <w:t xml:space="preserve"> authors contributed equally to this work</w:t>
      </w:r>
    </w:p>
    <w:p w14:paraId="25194B4C" w14:textId="77777777" w:rsidR="00B72E69" w:rsidRPr="00F91BEA" w:rsidRDefault="00B72E69" w:rsidP="00B72E69">
      <w:pPr>
        <w:spacing w:line="360" w:lineRule="auto"/>
        <w:rPr>
          <w:rFonts w:ascii="Calibri" w:eastAsiaTheme="minorEastAsia" w:hAnsi="Calibri" w:cs="Calibri"/>
        </w:rPr>
      </w:pPr>
      <w:r w:rsidRPr="00F91BEA">
        <w:rPr>
          <w:rFonts w:ascii="Calibri" w:eastAsiaTheme="minorEastAsia" w:hAnsi="Calibri" w:cs="Calibri"/>
        </w:rPr>
        <w:t>*Corresponding authors:</w:t>
      </w:r>
    </w:p>
    <w:p w14:paraId="1B80A307" w14:textId="77777777" w:rsidR="00B72E69" w:rsidRDefault="00B72E69" w:rsidP="00B72E69">
      <w:pPr>
        <w:spacing w:line="360" w:lineRule="auto"/>
        <w:rPr>
          <w:rFonts w:ascii="Calibri" w:eastAsiaTheme="minorEastAsia" w:hAnsi="Calibri" w:cs="Calibri"/>
        </w:rPr>
        <w:sectPr w:rsidR="00B72E69">
          <w:pgSz w:w="12240" w:h="15840"/>
          <w:pgMar w:top="1440" w:right="1440" w:bottom="1440" w:left="1440" w:header="708" w:footer="708" w:gutter="0"/>
          <w:cols w:space="708"/>
          <w:docGrid w:linePitch="360"/>
        </w:sectPr>
      </w:pPr>
    </w:p>
    <w:p w14:paraId="566A74BB" w14:textId="4992B042" w:rsidR="00B72E69" w:rsidRPr="00F91BEA" w:rsidRDefault="00B72E69" w:rsidP="00B72E69">
      <w:pPr>
        <w:spacing w:line="360" w:lineRule="auto"/>
        <w:rPr>
          <w:rFonts w:ascii="Calibri" w:eastAsiaTheme="minorEastAsia" w:hAnsi="Calibri" w:cs="Calibri"/>
        </w:rPr>
      </w:pPr>
      <w:r w:rsidRPr="00F91BEA">
        <w:rPr>
          <w:rFonts w:ascii="Calibri" w:eastAsiaTheme="minorEastAsia" w:hAnsi="Calibri" w:cs="Calibri"/>
        </w:rPr>
        <w:t>Daniela B. B. Trivella</w:t>
      </w:r>
    </w:p>
    <w:p w14:paraId="4D0D06C5" w14:textId="77777777" w:rsidR="00B72E69" w:rsidRPr="00F91BEA" w:rsidRDefault="00B72E69" w:rsidP="00B72E69">
      <w:pPr>
        <w:spacing w:line="360" w:lineRule="auto"/>
        <w:rPr>
          <w:rFonts w:ascii="Calibri" w:eastAsiaTheme="minorEastAsia" w:hAnsi="Calibri" w:cs="Calibri"/>
        </w:rPr>
      </w:pPr>
      <w:r w:rsidRPr="00F91BEA">
        <w:rPr>
          <w:rFonts w:ascii="Calibri" w:eastAsiaTheme="minorEastAsia" w:hAnsi="Calibri" w:cs="Calibri"/>
        </w:rPr>
        <w:t>phone: +55 19 3517-5055</w:t>
      </w:r>
    </w:p>
    <w:p w14:paraId="07C98F6F" w14:textId="77777777" w:rsidR="00B72E69" w:rsidRPr="00720758" w:rsidRDefault="00B72E69" w:rsidP="00B72E69">
      <w:pPr>
        <w:spacing w:line="360" w:lineRule="auto"/>
        <w:rPr>
          <w:rFonts w:ascii="Calibri" w:eastAsiaTheme="minorEastAsia" w:hAnsi="Calibri" w:cs="Calibri"/>
          <w:lang w:val="en-GB"/>
        </w:rPr>
      </w:pPr>
      <w:r w:rsidRPr="0033762E">
        <w:rPr>
          <w:rFonts w:ascii="Calibri" w:eastAsiaTheme="minorEastAsia" w:hAnsi="Calibri" w:cs="Calibri"/>
          <w:lang w:val="en-GB"/>
        </w:rPr>
        <w:t>E-mail:</w:t>
      </w:r>
      <w:r w:rsidRPr="00720758">
        <w:rPr>
          <w:rFonts w:ascii="Calibri" w:eastAsiaTheme="minorEastAsia" w:hAnsi="Calibri" w:cs="Calibri"/>
          <w:lang w:val="en-GB"/>
        </w:rPr>
        <w:t xml:space="preserve"> </w:t>
      </w:r>
      <w:hyperlink r:id="rId4" w:history="1">
        <w:r w:rsidRPr="0033762E">
          <w:rPr>
            <w:rStyle w:val="Hyperlink"/>
            <w:rFonts w:ascii="Calibri" w:eastAsiaTheme="minorEastAsia" w:hAnsi="Calibri" w:cs="Calibri"/>
            <w:lang w:val="en-GB"/>
          </w:rPr>
          <w:t>daniela.trivella@lnbio.cnpem.br</w:t>
        </w:r>
      </w:hyperlink>
      <w:r w:rsidRPr="0033762E">
        <w:rPr>
          <w:rFonts w:ascii="Calibri" w:eastAsiaTheme="minorEastAsia" w:hAnsi="Calibri" w:cs="Calibri"/>
          <w:lang w:val="en-GB"/>
        </w:rPr>
        <w:t xml:space="preserve"> </w:t>
      </w:r>
    </w:p>
    <w:p w14:paraId="5A903CF6" w14:textId="77777777" w:rsidR="00B72E69" w:rsidRPr="00720758" w:rsidRDefault="00B72E69" w:rsidP="00B72E69">
      <w:pPr>
        <w:spacing w:line="360" w:lineRule="auto"/>
        <w:rPr>
          <w:rFonts w:ascii="Calibri" w:eastAsiaTheme="minorEastAsia" w:hAnsi="Calibri" w:cs="Calibri"/>
          <w:lang w:val="en-GB"/>
        </w:rPr>
      </w:pPr>
    </w:p>
    <w:p w14:paraId="6A7F8693" w14:textId="77777777" w:rsidR="00B72E69" w:rsidRPr="00F91BEA" w:rsidRDefault="00B72E69" w:rsidP="00B72E69">
      <w:pPr>
        <w:spacing w:line="360" w:lineRule="auto"/>
        <w:rPr>
          <w:rFonts w:ascii="Calibri" w:eastAsiaTheme="minorEastAsia" w:hAnsi="Calibri" w:cs="Calibri"/>
          <w:lang w:val="pt-BR"/>
        </w:rPr>
      </w:pPr>
      <w:r w:rsidRPr="00F91BEA">
        <w:rPr>
          <w:rFonts w:ascii="Calibri" w:eastAsiaTheme="minorEastAsia" w:hAnsi="Calibri" w:cs="Calibri"/>
          <w:lang w:val="pt-BR"/>
        </w:rPr>
        <w:t>Ana Carolina M. Figueira</w:t>
      </w:r>
    </w:p>
    <w:p w14:paraId="395AB41B" w14:textId="77777777" w:rsidR="00B72E69" w:rsidRPr="00F91BEA" w:rsidRDefault="00B72E69" w:rsidP="00B72E69">
      <w:pPr>
        <w:spacing w:line="360" w:lineRule="auto"/>
        <w:rPr>
          <w:rFonts w:ascii="Calibri" w:eastAsiaTheme="minorEastAsia" w:hAnsi="Calibri" w:cs="Calibri"/>
          <w:lang w:val="pt-BR"/>
        </w:rPr>
      </w:pPr>
      <w:proofErr w:type="spellStart"/>
      <w:r w:rsidRPr="037A2AA2">
        <w:rPr>
          <w:rFonts w:ascii="Calibri" w:eastAsiaTheme="minorEastAsia" w:hAnsi="Calibri" w:cs="Calibri"/>
          <w:lang w:val="pt-BR"/>
        </w:rPr>
        <w:t>phone</w:t>
      </w:r>
      <w:proofErr w:type="spellEnd"/>
      <w:r w:rsidRPr="037A2AA2">
        <w:rPr>
          <w:rFonts w:ascii="Calibri" w:eastAsiaTheme="minorEastAsia" w:hAnsi="Calibri" w:cs="Calibri"/>
          <w:lang w:val="pt-BR"/>
        </w:rPr>
        <w:t>: +55 19 3512-1100</w:t>
      </w:r>
    </w:p>
    <w:p w14:paraId="2A83C2B8" w14:textId="3A3443AA" w:rsidR="00B72E69" w:rsidRPr="00254B59" w:rsidRDefault="00B72E69" w:rsidP="00B72E69">
      <w:pPr>
        <w:spacing w:line="360" w:lineRule="auto"/>
        <w:rPr>
          <w:rFonts w:ascii="Calibri" w:eastAsiaTheme="minorEastAsia" w:hAnsi="Calibri" w:cs="Calibri"/>
          <w:lang w:val="pt-BR"/>
        </w:rPr>
        <w:sectPr w:rsidR="00B72E69" w:rsidRPr="00254B59" w:rsidSect="00B72E69">
          <w:type w:val="continuous"/>
          <w:pgSz w:w="12240" w:h="15840"/>
          <w:pgMar w:top="1440" w:right="1440" w:bottom="1440" w:left="1440" w:header="708" w:footer="708" w:gutter="0"/>
          <w:cols w:num="2" w:space="708"/>
          <w:docGrid w:linePitch="360"/>
        </w:sectPr>
      </w:pPr>
      <w:r w:rsidRPr="00F91BEA">
        <w:rPr>
          <w:rFonts w:ascii="Calibri" w:eastAsiaTheme="minorEastAsia" w:hAnsi="Calibri" w:cs="Calibri"/>
          <w:lang w:val="pt-BR"/>
        </w:rPr>
        <w:t xml:space="preserve">E-mail: </w:t>
      </w:r>
      <w:hyperlink r:id="rId5" w:history="1">
        <w:r w:rsidRPr="00F91BEA">
          <w:rPr>
            <w:rStyle w:val="Hyperlink"/>
            <w:rFonts w:ascii="Calibri" w:eastAsiaTheme="minorEastAsia" w:hAnsi="Calibri" w:cs="Calibri"/>
            <w:lang w:val="pt-BR"/>
          </w:rPr>
          <w:t>ana.figueira@lnbio.cnpem.br</w:t>
        </w:r>
      </w:hyperlink>
      <w:r w:rsidRPr="00F91BEA">
        <w:rPr>
          <w:rFonts w:ascii="Calibri" w:eastAsiaTheme="minorEastAsia" w:hAnsi="Calibri" w:cs="Calibri"/>
          <w:lang w:val="pt-BR"/>
        </w:rPr>
        <w:t xml:space="preserve">   </w:t>
      </w:r>
    </w:p>
    <w:p w14:paraId="071D774E" w14:textId="61D0EC47" w:rsidR="00254B59" w:rsidRDefault="007F018F" w:rsidP="5D007DC2">
      <w:pPr>
        <w:rPr>
          <w:b/>
          <w:bCs/>
        </w:rPr>
      </w:pPr>
      <w:r w:rsidRPr="00B72E69">
        <w:rPr>
          <w:b/>
          <w:bCs/>
        </w:rPr>
        <w:lastRenderedPageBreak/>
        <w:t>TABLES</w:t>
      </w:r>
    </w:p>
    <w:p w14:paraId="2705392F" w14:textId="77777777" w:rsidR="00254B59" w:rsidRDefault="00254B59" w:rsidP="5D007DC2">
      <w:pPr>
        <w:rPr>
          <w:b/>
          <w:bCs/>
        </w:rPr>
      </w:pPr>
    </w:p>
    <w:p w14:paraId="6352223A" w14:textId="3363D720" w:rsidR="00F30C49" w:rsidRDefault="00F30C49" w:rsidP="5D007DC2">
      <w:pPr>
        <w:pStyle w:val="Heading2"/>
        <w:rPr>
          <w:rFonts w:asciiTheme="minorHAnsi" w:hAnsiTheme="minorHAnsi" w:cstheme="minorBidi"/>
          <w:color w:val="000000" w:themeColor="text1"/>
          <w:sz w:val="24"/>
          <w:szCs w:val="24"/>
        </w:rPr>
      </w:pPr>
      <w:r w:rsidRPr="001B5CB7">
        <w:rPr>
          <w:rFonts w:asciiTheme="minorHAnsi" w:hAnsiTheme="minorHAnsi" w:cstheme="minorBidi"/>
          <w:color w:val="000000" w:themeColor="text1"/>
          <w:sz w:val="24"/>
          <w:szCs w:val="24"/>
        </w:rPr>
        <w:t>Table S</w:t>
      </w:r>
      <w:r w:rsidR="00D05AB7" w:rsidRPr="5D007DC2">
        <w:rPr>
          <w:rFonts w:asciiTheme="minorHAnsi" w:hAnsiTheme="minorHAnsi" w:cstheme="minorBidi"/>
          <w:color w:val="000000" w:themeColor="text1"/>
          <w:sz w:val="24"/>
          <w:szCs w:val="24"/>
        </w:rPr>
        <w:t>1</w:t>
      </w:r>
      <w:r w:rsidRPr="001B5CB7">
        <w:rPr>
          <w:rFonts w:asciiTheme="minorHAnsi" w:hAnsiTheme="minorHAnsi" w:cstheme="minorBidi"/>
          <w:color w:val="000000" w:themeColor="text1"/>
          <w:sz w:val="24"/>
          <w:szCs w:val="24"/>
        </w:rPr>
        <w:t xml:space="preserve">. </w:t>
      </w:r>
      <w:r w:rsidR="00D05AB7" w:rsidRPr="001B5CB7">
        <w:rPr>
          <w:rFonts w:asciiTheme="minorHAnsi" w:hAnsiTheme="minorHAnsi" w:cstheme="minorBidi"/>
          <w:color w:val="000000" w:themeColor="text1"/>
          <w:sz w:val="24"/>
          <w:szCs w:val="24"/>
        </w:rPr>
        <w:t xml:space="preserve">X-ray data </w:t>
      </w:r>
      <w:r w:rsidRPr="001B5CB7">
        <w:rPr>
          <w:rFonts w:asciiTheme="minorHAnsi" w:hAnsiTheme="minorHAnsi" w:cstheme="minorBidi"/>
          <w:color w:val="000000" w:themeColor="text1"/>
          <w:sz w:val="24"/>
          <w:szCs w:val="24"/>
        </w:rPr>
        <w:t>collection and refinement statistics.</w:t>
      </w:r>
    </w:p>
    <w:p w14:paraId="1840B83A" w14:textId="77777777" w:rsidR="00681589" w:rsidRPr="00681589" w:rsidRDefault="00681589" w:rsidP="00681589"/>
    <w:tbl>
      <w:tblPr>
        <w:tblW w:w="9815" w:type="dxa"/>
        <w:tblInd w:w="108" w:type="dxa"/>
        <w:tblLayout w:type="fixed"/>
        <w:tblLook w:val="0000" w:firstRow="0" w:lastRow="0" w:firstColumn="0" w:lastColumn="0" w:noHBand="0" w:noVBand="0"/>
      </w:tblPr>
      <w:tblGrid>
        <w:gridCol w:w="2444"/>
        <w:gridCol w:w="3685"/>
        <w:gridCol w:w="3686"/>
      </w:tblGrid>
      <w:tr w:rsidR="00F30C49" w:rsidRPr="00681589" w14:paraId="3F108FA3" w14:textId="77777777" w:rsidTr="001B5CB7">
        <w:tc>
          <w:tcPr>
            <w:tcW w:w="2444" w:type="dxa"/>
            <w:tcBorders>
              <w:top w:val="single" w:sz="12" w:space="0" w:color="auto"/>
              <w:left w:val="nil"/>
              <w:bottom w:val="single" w:sz="12" w:space="0" w:color="auto"/>
              <w:right w:val="nil"/>
            </w:tcBorders>
          </w:tcPr>
          <w:p w14:paraId="60F7F205" w14:textId="7F83F0D8" w:rsidR="00F30C49" w:rsidRPr="00681589" w:rsidRDefault="00F30C49" w:rsidP="00E40C2F">
            <w:pPr>
              <w:pStyle w:val="Heading2"/>
              <w:spacing w:before="0"/>
              <w:rPr>
                <w:rFonts w:ascii="Century Gothic" w:hAnsi="Century Gothic"/>
                <w:b/>
                <w:bCs/>
                <w:sz w:val="20"/>
                <w:szCs w:val="20"/>
              </w:rPr>
            </w:pPr>
            <w:r w:rsidRPr="00681589">
              <w:rPr>
                <w:rFonts w:ascii="Century Gothic" w:eastAsia="Arial" w:hAnsi="Century Gothic" w:cs="Calibri"/>
                <w:b/>
                <w:bCs/>
                <w:color w:val="000000" w:themeColor="text1"/>
                <w:sz w:val="20"/>
                <w:szCs w:val="20"/>
              </w:rPr>
              <w:t>Parameter/ structure</w:t>
            </w:r>
          </w:p>
        </w:tc>
        <w:tc>
          <w:tcPr>
            <w:tcW w:w="3685" w:type="dxa"/>
            <w:tcBorders>
              <w:top w:val="single" w:sz="12" w:space="0" w:color="auto"/>
              <w:left w:val="nil"/>
              <w:bottom w:val="single" w:sz="12" w:space="0" w:color="auto"/>
              <w:right w:val="nil"/>
            </w:tcBorders>
            <w:vAlign w:val="center"/>
          </w:tcPr>
          <w:p w14:paraId="230C99B0" w14:textId="77777777" w:rsidR="00F30C49" w:rsidRPr="00681589" w:rsidRDefault="00F30C49" w:rsidP="00E40C2F">
            <w:pPr>
              <w:jc w:val="center"/>
              <w:rPr>
                <w:rFonts w:ascii="Century Gothic" w:hAnsi="Century Gothic"/>
                <w:b/>
                <w:bCs/>
                <w:sz w:val="20"/>
                <w:szCs w:val="20"/>
              </w:rPr>
            </w:pPr>
            <w:r w:rsidRPr="00681589">
              <w:rPr>
                <w:rFonts w:ascii="Century Gothic" w:hAnsi="Century Gothic"/>
                <w:b/>
                <w:bCs/>
                <w:sz w:val="20"/>
                <w:szCs w:val="20"/>
              </w:rPr>
              <w:t>Apo CTD</w:t>
            </w:r>
          </w:p>
        </w:tc>
        <w:tc>
          <w:tcPr>
            <w:tcW w:w="3686" w:type="dxa"/>
            <w:tcBorders>
              <w:top w:val="single" w:sz="12" w:space="0" w:color="auto"/>
              <w:left w:val="nil"/>
              <w:bottom w:val="single" w:sz="12" w:space="0" w:color="auto"/>
              <w:right w:val="nil"/>
            </w:tcBorders>
            <w:vAlign w:val="center"/>
          </w:tcPr>
          <w:p w14:paraId="3570AFAF" w14:textId="6A378851" w:rsidR="00F30C49" w:rsidRPr="00681589" w:rsidRDefault="00267024" w:rsidP="00E40C2F">
            <w:pPr>
              <w:jc w:val="center"/>
              <w:rPr>
                <w:rFonts w:ascii="Century Gothic" w:hAnsi="Century Gothic"/>
                <w:b/>
                <w:bCs/>
                <w:sz w:val="20"/>
                <w:szCs w:val="20"/>
              </w:rPr>
            </w:pPr>
            <w:r w:rsidRPr="00681589">
              <w:rPr>
                <w:rFonts w:ascii="Century Gothic" w:hAnsi="Century Gothic"/>
                <w:b/>
                <w:bCs/>
                <w:sz w:val="20"/>
                <w:szCs w:val="20"/>
              </w:rPr>
              <w:t xml:space="preserve">CTD </w:t>
            </w:r>
            <w:proofErr w:type="spellStart"/>
            <w:r w:rsidRPr="00681589">
              <w:rPr>
                <w:rFonts w:ascii="Century Gothic" w:hAnsi="Century Gothic"/>
                <w:b/>
                <w:bCs/>
                <w:sz w:val="20"/>
                <w:szCs w:val="20"/>
              </w:rPr>
              <w:t>Chicoric</w:t>
            </w:r>
            <w:proofErr w:type="spellEnd"/>
            <w:r w:rsidRPr="00681589">
              <w:rPr>
                <w:rFonts w:ascii="Century Gothic" w:hAnsi="Century Gothic"/>
                <w:b/>
                <w:bCs/>
                <w:sz w:val="20"/>
                <w:szCs w:val="20"/>
              </w:rPr>
              <w:t xml:space="preserve"> acid</w:t>
            </w:r>
          </w:p>
        </w:tc>
      </w:tr>
      <w:tr w:rsidR="00F30C49" w:rsidRPr="00681589" w14:paraId="6323F102" w14:textId="77777777" w:rsidTr="001B5CB7">
        <w:tc>
          <w:tcPr>
            <w:tcW w:w="2444" w:type="dxa"/>
            <w:tcBorders>
              <w:top w:val="single" w:sz="12" w:space="0" w:color="auto"/>
              <w:left w:val="nil"/>
              <w:right w:val="nil"/>
            </w:tcBorders>
          </w:tcPr>
          <w:p w14:paraId="7963297E"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Data </w:t>
            </w:r>
            <w:proofErr w:type="spellStart"/>
            <w:r w:rsidRPr="00681589">
              <w:rPr>
                <w:rFonts w:ascii="Century Gothic" w:hAnsi="Century Gothic"/>
                <w:b/>
                <w:bCs/>
                <w:color w:val="000000" w:themeColor="text1"/>
                <w:sz w:val="20"/>
                <w:szCs w:val="20"/>
              </w:rPr>
              <w:t>colection</w:t>
            </w:r>
            <w:proofErr w:type="spellEnd"/>
          </w:p>
        </w:tc>
        <w:tc>
          <w:tcPr>
            <w:tcW w:w="3685" w:type="dxa"/>
            <w:tcBorders>
              <w:top w:val="single" w:sz="12" w:space="0" w:color="auto"/>
              <w:left w:val="nil"/>
              <w:right w:val="nil"/>
            </w:tcBorders>
            <w:vAlign w:val="center"/>
          </w:tcPr>
          <w:p w14:paraId="6C3BB956" w14:textId="77777777" w:rsidR="00F30C49" w:rsidRPr="00681589" w:rsidRDefault="00F30C49" w:rsidP="00E40C2F">
            <w:pPr>
              <w:jc w:val="right"/>
              <w:rPr>
                <w:rFonts w:ascii="Century Gothic" w:hAnsi="Century Gothic"/>
                <w:sz w:val="20"/>
                <w:szCs w:val="20"/>
              </w:rPr>
            </w:pPr>
          </w:p>
        </w:tc>
        <w:tc>
          <w:tcPr>
            <w:tcW w:w="3686" w:type="dxa"/>
            <w:tcBorders>
              <w:top w:val="single" w:sz="12" w:space="0" w:color="auto"/>
              <w:left w:val="nil"/>
              <w:right w:val="nil"/>
            </w:tcBorders>
            <w:vAlign w:val="center"/>
          </w:tcPr>
          <w:p w14:paraId="4A420E1B" w14:textId="77777777" w:rsidR="00F30C49" w:rsidRPr="00681589" w:rsidRDefault="00F30C49" w:rsidP="00E40C2F">
            <w:pPr>
              <w:jc w:val="right"/>
              <w:rPr>
                <w:rFonts w:ascii="Century Gothic" w:hAnsi="Century Gothic"/>
                <w:sz w:val="20"/>
                <w:szCs w:val="20"/>
              </w:rPr>
            </w:pPr>
          </w:p>
        </w:tc>
      </w:tr>
      <w:tr w:rsidR="00F30C49" w:rsidRPr="00681589" w14:paraId="357FF4B2" w14:textId="77777777" w:rsidTr="001B5CB7">
        <w:tc>
          <w:tcPr>
            <w:tcW w:w="2444" w:type="dxa"/>
            <w:tcBorders>
              <w:left w:val="nil"/>
              <w:bottom w:val="nil"/>
              <w:right w:val="nil"/>
            </w:tcBorders>
          </w:tcPr>
          <w:p w14:paraId="74E1B357"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Source</w:t>
            </w:r>
          </w:p>
        </w:tc>
        <w:tc>
          <w:tcPr>
            <w:tcW w:w="3685" w:type="dxa"/>
            <w:tcBorders>
              <w:left w:val="nil"/>
              <w:bottom w:val="nil"/>
              <w:right w:val="nil"/>
            </w:tcBorders>
            <w:vAlign w:val="center"/>
          </w:tcPr>
          <w:p w14:paraId="11A9F3BD" w14:textId="77777777" w:rsidR="00F30C49" w:rsidRPr="00681589" w:rsidRDefault="00F30C49" w:rsidP="00E40C2F">
            <w:pPr>
              <w:jc w:val="right"/>
              <w:rPr>
                <w:rFonts w:ascii="Century Gothic" w:hAnsi="Century Gothic"/>
                <w:sz w:val="20"/>
                <w:szCs w:val="20"/>
              </w:rPr>
            </w:pPr>
            <w:proofErr w:type="spellStart"/>
            <w:r w:rsidRPr="00681589">
              <w:rPr>
                <w:rFonts w:ascii="Century Gothic" w:hAnsi="Century Gothic"/>
                <w:sz w:val="20"/>
                <w:szCs w:val="20"/>
              </w:rPr>
              <w:t>Manacá</w:t>
            </w:r>
            <w:proofErr w:type="spellEnd"/>
            <w:r w:rsidRPr="00681589">
              <w:rPr>
                <w:rFonts w:ascii="Century Gothic" w:hAnsi="Century Gothic"/>
                <w:sz w:val="20"/>
                <w:szCs w:val="20"/>
              </w:rPr>
              <w:t>, Sirius</w:t>
            </w:r>
          </w:p>
        </w:tc>
        <w:tc>
          <w:tcPr>
            <w:tcW w:w="3686" w:type="dxa"/>
            <w:tcBorders>
              <w:left w:val="nil"/>
              <w:bottom w:val="nil"/>
              <w:right w:val="nil"/>
            </w:tcBorders>
            <w:vAlign w:val="center"/>
          </w:tcPr>
          <w:p w14:paraId="3FF85920" w14:textId="77777777" w:rsidR="00F30C49" w:rsidRPr="00681589" w:rsidRDefault="00F30C49" w:rsidP="00E40C2F">
            <w:pPr>
              <w:jc w:val="right"/>
              <w:rPr>
                <w:rFonts w:ascii="Century Gothic" w:hAnsi="Century Gothic"/>
                <w:sz w:val="20"/>
                <w:szCs w:val="20"/>
              </w:rPr>
            </w:pPr>
            <w:proofErr w:type="spellStart"/>
            <w:r w:rsidRPr="00681589">
              <w:rPr>
                <w:rFonts w:ascii="Century Gothic" w:hAnsi="Century Gothic"/>
                <w:sz w:val="20"/>
                <w:szCs w:val="20"/>
              </w:rPr>
              <w:t>Manacá</w:t>
            </w:r>
            <w:proofErr w:type="spellEnd"/>
            <w:r w:rsidRPr="00681589">
              <w:rPr>
                <w:rFonts w:ascii="Century Gothic" w:hAnsi="Century Gothic"/>
                <w:sz w:val="20"/>
                <w:szCs w:val="20"/>
              </w:rPr>
              <w:t>, Sirius</w:t>
            </w:r>
          </w:p>
        </w:tc>
      </w:tr>
      <w:tr w:rsidR="00F30C49" w:rsidRPr="00681589" w14:paraId="7F94E36F" w14:textId="77777777" w:rsidTr="001B5CB7">
        <w:tc>
          <w:tcPr>
            <w:tcW w:w="2444" w:type="dxa"/>
            <w:tcBorders>
              <w:left w:val="nil"/>
              <w:bottom w:val="nil"/>
              <w:right w:val="nil"/>
            </w:tcBorders>
          </w:tcPr>
          <w:p w14:paraId="08DB22DD"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Wavelength (</w:t>
            </w:r>
            <w:bookmarkStart w:id="0" w:name="_Hlk86927012"/>
            <w:r w:rsidRPr="00681589">
              <w:rPr>
                <w:rFonts w:ascii="Century Gothic" w:hAnsi="Century Gothic" w:cs="Arial"/>
                <w:b/>
                <w:bCs/>
                <w:color w:val="000000" w:themeColor="text1"/>
                <w:sz w:val="20"/>
                <w:szCs w:val="20"/>
              </w:rPr>
              <w:t>Å</w:t>
            </w:r>
            <w:bookmarkEnd w:id="0"/>
            <w:r w:rsidRPr="00681589">
              <w:rPr>
                <w:rFonts w:ascii="Century Gothic" w:hAnsi="Century Gothic"/>
                <w:b/>
                <w:bCs/>
                <w:color w:val="000000" w:themeColor="text1"/>
                <w:sz w:val="20"/>
                <w:szCs w:val="20"/>
              </w:rPr>
              <w:t>)</w:t>
            </w:r>
          </w:p>
        </w:tc>
        <w:tc>
          <w:tcPr>
            <w:tcW w:w="3685" w:type="dxa"/>
            <w:tcBorders>
              <w:left w:val="nil"/>
              <w:bottom w:val="nil"/>
              <w:right w:val="nil"/>
            </w:tcBorders>
            <w:vAlign w:val="center"/>
          </w:tcPr>
          <w:p w14:paraId="59D535B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1.32</w:t>
            </w:r>
          </w:p>
        </w:tc>
        <w:tc>
          <w:tcPr>
            <w:tcW w:w="3686" w:type="dxa"/>
            <w:tcBorders>
              <w:left w:val="nil"/>
              <w:bottom w:val="nil"/>
              <w:right w:val="nil"/>
            </w:tcBorders>
            <w:vAlign w:val="center"/>
          </w:tcPr>
          <w:p w14:paraId="637AF84F"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0.97</w:t>
            </w:r>
          </w:p>
        </w:tc>
      </w:tr>
      <w:tr w:rsidR="00F30C49" w:rsidRPr="00681589" w14:paraId="258FFCB9" w14:textId="77777777" w:rsidTr="001B5CB7">
        <w:tc>
          <w:tcPr>
            <w:tcW w:w="2444" w:type="dxa"/>
            <w:tcBorders>
              <w:top w:val="nil"/>
              <w:left w:val="nil"/>
              <w:bottom w:val="nil"/>
              <w:right w:val="nil"/>
            </w:tcBorders>
          </w:tcPr>
          <w:p w14:paraId="0DE6196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Resolution range (</w:t>
            </w:r>
            <w:r w:rsidRPr="00681589">
              <w:rPr>
                <w:rFonts w:ascii="Century Gothic" w:hAnsi="Century Gothic" w:cs="Arial"/>
                <w:b/>
                <w:bCs/>
                <w:color w:val="000000" w:themeColor="text1"/>
                <w:sz w:val="20"/>
                <w:szCs w:val="20"/>
              </w:rPr>
              <w:t>Å</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4F68620C"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41.3 - 1.85 (1.916 - 1.85)</w:t>
            </w:r>
          </w:p>
        </w:tc>
        <w:tc>
          <w:tcPr>
            <w:tcW w:w="3686" w:type="dxa"/>
            <w:tcBorders>
              <w:top w:val="nil"/>
              <w:left w:val="nil"/>
              <w:bottom w:val="nil"/>
              <w:right w:val="nil"/>
            </w:tcBorders>
            <w:vAlign w:val="center"/>
          </w:tcPr>
          <w:p w14:paraId="72864EF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43.98 - 1.73 (1.79 - 1.73)</w:t>
            </w:r>
          </w:p>
        </w:tc>
      </w:tr>
      <w:tr w:rsidR="00F30C49" w:rsidRPr="00681589" w14:paraId="4A72A4FE" w14:textId="77777777" w:rsidTr="001B5CB7">
        <w:tc>
          <w:tcPr>
            <w:tcW w:w="2444" w:type="dxa"/>
            <w:tcBorders>
              <w:top w:val="nil"/>
              <w:left w:val="nil"/>
              <w:bottom w:val="nil"/>
              <w:right w:val="nil"/>
            </w:tcBorders>
          </w:tcPr>
          <w:p w14:paraId="1FDF1874"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Space group</w:t>
            </w:r>
          </w:p>
        </w:tc>
        <w:tc>
          <w:tcPr>
            <w:tcW w:w="3685" w:type="dxa"/>
            <w:tcBorders>
              <w:top w:val="nil"/>
              <w:left w:val="nil"/>
              <w:bottom w:val="nil"/>
              <w:right w:val="nil"/>
            </w:tcBorders>
            <w:vAlign w:val="center"/>
          </w:tcPr>
          <w:p w14:paraId="4CB9EC69" w14:textId="77777777" w:rsidR="00F30C49" w:rsidRPr="00681589" w:rsidRDefault="00F30C49" w:rsidP="00E40C2F">
            <w:pPr>
              <w:jc w:val="right"/>
              <w:rPr>
                <w:rFonts w:ascii="Century Gothic" w:hAnsi="Century Gothic"/>
                <w:sz w:val="20"/>
                <w:szCs w:val="20"/>
              </w:rPr>
            </w:pPr>
            <w:r w:rsidRPr="00681589">
              <w:rPr>
                <w:rFonts w:ascii="Century Gothic" w:hAnsi="Century Gothic"/>
                <w:i/>
                <w:iCs/>
                <w:sz w:val="20"/>
                <w:szCs w:val="20"/>
              </w:rPr>
              <w:t>P</w:t>
            </w:r>
            <w:r w:rsidRPr="00681589">
              <w:rPr>
                <w:rFonts w:ascii="Century Gothic" w:hAnsi="Century Gothic"/>
                <w:sz w:val="20"/>
                <w:szCs w:val="20"/>
              </w:rPr>
              <w:t xml:space="preserve"> 2</w:t>
            </w:r>
            <w:r w:rsidRPr="00681589">
              <w:rPr>
                <w:rFonts w:ascii="Century Gothic" w:hAnsi="Century Gothic"/>
                <w:sz w:val="20"/>
                <w:szCs w:val="20"/>
                <w:vertAlign w:val="subscript"/>
              </w:rPr>
              <w:t>1</w:t>
            </w:r>
            <w:r w:rsidRPr="00681589">
              <w:rPr>
                <w:rFonts w:ascii="Century Gothic" w:hAnsi="Century Gothic"/>
                <w:sz w:val="20"/>
                <w:szCs w:val="20"/>
              </w:rPr>
              <w:t xml:space="preserve"> 2</w:t>
            </w:r>
            <w:r w:rsidRPr="00681589">
              <w:rPr>
                <w:rFonts w:ascii="Century Gothic" w:hAnsi="Century Gothic"/>
                <w:sz w:val="20"/>
                <w:szCs w:val="20"/>
                <w:vertAlign w:val="subscript"/>
              </w:rPr>
              <w:t>1</w:t>
            </w:r>
            <w:r w:rsidRPr="00681589">
              <w:rPr>
                <w:rFonts w:ascii="Century Gothic" w:hAnsi="Century Gothic"/>
                <w:sz w:val="20"/>
                <w:szCs w:val="20"/>
              </w:rPr>
              <w:t xml:space="preserve"> 2</w:t>
            </w:r>
            <w:r w:rsidRPr="00681589">
              <w:rPr>
                <w:rFonts w:ascii="Century Gothic" w:hAnsi="Century Gothic"/>
                <w:sz w:val="20"/>
                <w:szCs w:val="20"/>
                <w:vertAlign w:val="subscript"/>
              </w:rPr>
              <w:t>1</w:t>
            </w:r>
          </w:p>
        </w:tc>
        <w:tc>
          <w:tcPr>
            <w:tcW w:w="3686" w:type="dxa"/>
            <w:tcBorders>
              <w:top w:val="nil"/>
              <w:left w:val="nil"/>
              <w:bottom w:val="nil"/>
              <w:right w:val="nil"/>
            </w:tcBorders>
            <w:vAlign w:val="center"/>
          </w:tcPr>
          <w:p w14:paraId="13AF62EC" w14:textId="77777777" w:rsidR="00F30C49" w:rsidRPr="00681589" w:rsidRDefault="00F30C49" w:rsidP="00E40C2F">
            <w:pPr>
              <w:jc w:val="right"/>
              <w:rPr>
                <w:rFonts w:ascii="Century Gothic" w:hAnsi="Century Gothic"/>
                <w:sz w:val="20"/>
                <w:szCs w:val="20"/>
              </w:rPr>
            </w:pPr>
            <w:r w:rsidRPr="00681589">
              <w:rPr>
                <w:rFonts w:ascii="Century Gothic" w:hAnsi="Century Gothic"/>
                <w:i/>
                <w:iCs/>
                <w:sz w:val="20"/>
                <w:szCs w:val="20"/>
              </w:rPr>
              <w:t>P</w:t>
            </w:r>
            <w:r w:rsidRPr="00681589">
              <w:rPr>
                <w:rFonts w:ascii="Century Gothic" w:hAnsi="Century Gothic"/>
                <w:sz w:val="20"/>
                <w:szCs w:val="20"/>
              </w:rPr>
              <w:t xml:space="preserve"> 2</w:t>
            </w:r>
            <w:r w:rsidRPr="00681589">
              <w:rPr>
                <w:rFonts w:ascii="Century Gothic" w:hAnsi="Century Gothic"/>
                <w:sz w:val="20"/>
                <w:szCs w:val="20"/>
                <w:vertAlign w:val="subscript"/>
              </w:rPr>
              <w:t>1</w:t>
            </w:r>
            <w:r w:rsidRPr="00681589">
              <w:rPr>
                <w:rFonts w:ascii="Century Gothic" w:hAnsi="Century Gothic"/>
                <w:sz w:val="20"/>
                <w:szCs w:val="20"/>
              </w:rPr>
              <w:t xml:space="preserve"> 2</w:t>
            </w:r>
            <w:r w:rsidRPr="00681589">
              <w:rPr>
                <w:rFonts w:ascii="Century Gothic" w:hAnsi="Century Gothic"/>
                <w:sz w:val="20"/>
                <w:szCs w:val="20"/>
                <w:vertAlign w:val="subscript"/>
              </w:rPr>
              <w:t>1</w:t>
            </w:r>
            <w:r w:rsidRPr="00681589">
              <w:rPr>
                <w:rFonts w:ascii="Century Gothic" w:hAnsi="Century Gothic"/>
                <w:sz w:val="20"/>
                <w:szCs w:val="20"/>
              </w:rPr>
              <w:t xml:space="preserve"> 2</w:t>
            </w:r>
            <w:r w:rsidRPr="00681589">
              <w:rPr>
                <w:rFonts w:ascii="Century Gothic" w:hAnsi="Century Gothic"/>
                <w:sz w:val="20"/>
                <w:szCs w:val="20"/>
                <w:vertAlign w:val="subscript"/>
              </w:rPr>
              <w:t>1</w:t>
            </w:r>
          </w:p>
        </w:tc>
      </w:tr>
      <w:tr w:rsidR="00F30C49" w:rsidRPr="00681589" w14:paraId="766EFC3B" w14:textId="77777777" w:rsidTr="001B5CB7">
        <w:tc>
          <w:tcPr>
            <w:tcW w:w="2444" w:type="dxa"/>
            <w:tcBorders>
              <w:top w:val="nil"/>
              <w:left w:val="nil"/>
              <w:bottom w:val="nil"/>
              <w:right w:val="nil"/>
            </w:tcBorders>
          </w:tcPr>
          <w:p w14:paraId="2B307306"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a b c (</w:t>
            </w:r>
            <w:r w:rsidRPr="00681589">
              <w:rPr>
                <w:rFonts w:ascii="Century Gothic" w:hAnsi="Century Gothic" w:cs="Arial"/>
                <w:b/>
                <w:bCs/>
                <w:color w:val="000000" w:themeColor="text1"/>
                <w:sz w:val="20"/>
                <w:szCs w:val="20"/>
              </w:rPr>
              <w:t>Å</w:t>
            </w:r>
            <w:r w:rsidRPr="00681589">
              <w:rPr>
                <w:rFonts w:ascii="Century Gothic" w:hAnsi="Century Gothic"/>
                <w:b/>
                <w:bCs/>
                <w:color w:val="000000" w:themeColor="text1"/>
                <w:sz w:val="20"/>
                <w:szCs w:val="20"/>
              </w:rPr>
              <w:t xml:space="preserve">) – </w:t>
            </w:r>
            <w:r w:rsidRPr="00681589">
              <w:rPr>
                <w:rFonts w:ascii="Century Gothic" w:hAnsi="Century Gothic" w:cs="Arial"/>
                <w:b/>
                <w:bCs/>
                <w:color w:val="000000" w:themeColor="text1"/>
                <w:sz w:val="20"/>
                <w:szCs w:val="20"/>
              </w:rPr>
              <w:t>α</w:t>
            </w:r>
            <w:r w:rsidRPr="00681589">
              <w:rPr>
                <w:rFonts w:ascii="Century Gothic" w:hAnsi="Century Gothic"/>
                <w:b/>
                <w:bCs/>
                <w:color w:val="000000" w:themeColor="text1"/>
                <w:sz w:val="20"/>
                <w:szCs w:val="20"/>
              </w:rPr>
              <w:t xml:space="preserve"> </w:t>
            </w:r>
            <w:r w:rsidRPr="00681589">
              <w:rPr>
                <w:rFonts w:ascii="Century Gothic" w:hAnsi="Century Gothic" w:cs="Arial"/>
                <w:b/>
                <w:bCs/>
                <w:color w:val="000000" w:themeColor="text1"/>
                <w:sz w:val="20"/>
                <w:szCs w:val="20"/>
              </w:rPr>
              <w:t>β</w:t>
            </w:r>
            <w:r w:rsidRPr="00681589">
              <w:rPr>
                <w:rFonts w:ascii="Century Gothic" w:hAnsi="Century Gothic"/>
                <w:b/>
                <w:bCs/>
                <w:color w:val="000000" w:themeColor="text1"/>
                <w:sz w:val="20"/>
                <w:szCs w:val="20"/>
              </w:rPr>
              <w:t xml:space="preserve"> </w:t>
            </w:r>
            <w:r w:rsidRPr="00681589">
              <w:rPr>
                <w:rFonts w:ascii="Century Gothic" w:hAnsi="Century Gothic" w:cs="Arial"/>
                <w:b/>
                <w:bCs/>
                <w:color w:val="000000" w:themeColor="text1"/>
                <w:sz w:val="20"/>
                <w:szCs w:val="20"/>
              </w:rPr>
              <w:t>γ (</w:t>
            </w:r>
            <w:r w:rsidRPr="00681589">
              <w:rPr>
                <w:rFonts w:ascii="Century Gothic" w:hAnsi="Century Gothic" w:cs="Arial"/>
                <w:b/>
                <w:bCs/>
                <w:color w:val="000000" w:themeColor="text1"/>
                <w:sz w:val="20"/>
                <w:szCs w:val="20"/>
                <w:vertAlign w:val="superscript"/>
              </w:rPr>
              <w:t>o</w:t>
            </w:r>
            <w:r w:rsidRPr="00681589">
              <w:rPr>
                <w:rFonts w:ascii="Century Gothic" w:hAnsi="Century Gothic" w:cs="Arial"/>
                <w:b/>
                <w:bCs/>
                <w:color w:val="000000" w:themeColor="text1"/>
                <w:sz w:val="20"/>
                <w:szCs w:val="20"/>
              </w:rPr>
              <w:t>)</w:t>
            </w:r>
          </w:p>
        </w:tc>
        <w:tc>
          <w:tcPr>
            <w:tcW w:w="3685" w:type="dxa"/>
            <w:tcBorders>
              <w:top w:val="nil"/>
              <w:left w:val="nil"/>
              <w:bottom w:val="nil"/>
              <w:right w:val="nil"/>
            </w:tcBorders>
            <w:vAlign w:val="center"/>
          </w:tcPr>
          <w:p w14:paraId="7CB98358"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43.61 119.75 128.56 - 90 90 90</w:t>
            </w:r>
          </w:p>
        </w:tc>
        <w:tc>
          <w:tcPr>
            <w:tcW w:w="3686" w:type="dxa"/>
            <w:tcBorders>
              <w:top w:val="nil"/>
              <w:left w:val="nil"/>
              <w:bottom w:val="nil"/>
              <w:right w:val="nil"/>
            </w:tcBorders>
            <w:vAlign w:val="center"/>
          </w:tcPr>
          <w:p w14:paraId="73F0C2D3"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43.66 120.65 128.50 - 90 90 90</w:t>
            </w:r>
          </w:p>
        </w:tc>
      </w:tr>
      <w:tr w:rsidR="00F30C49" w:rsidRPr="00681589" w14:paraId="227911A1" w14:textId="77777777" w:rsidTr="001B5CB7">
        <w:tc>
          <w:tcPr>
            <w:tcW w:w="2444" w:type="dxa"/>
            <w:tcBorders>
              <w:top w:val="nil"/>
              <w:left w:val="nil"/>
              <w:bottom w:val="nil"/>
              <w:right w:val="nil"/>
            </w:tcBorders>
          </w:tcPr>
          <w:p w14:paraId="1ACF4CB6"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Total reflections</w:t>
            </w:r>
          </w:p>
        </w:tc>
        <w:tc>
          <w:tcPr>
            <w:tcW w:w="3685" w:type="dxa"/>
            <w:tcBorders>
              <w:top w:val="nil"/>
              <w:left w:val="nil"/>
              <w:bottom w:val="nil"/>
              <w:right w:val="nil"/>
            </w:tcBorders>
            <w:vAlign w:val="center"/>
          </w:tcPr>
          <w:p w14:paraId="1DBE9D8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116966 (11518)</w:t>
            </w:r>
          </w:p>
        </w:tc>
        <w:tc>
          <w:tcPr>
            <w:tcW w:w="3686" w:type="dxa"/>
            <w:tcBorders>
              <w:top w:val="nil"/>
              <w:left w:val="nil"/>
              <w:bottom w:val="nil"/>
              <w:right w:val="nil"/>
            </w:tcBorders>
            <w:vAlign w:val="center"/>
          </w:tcPr>
          <w:p w14:paraId="34AE6C2F"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756128 (70666)</w:t>
            </w:r>
          </w:p>
        </w:tc>
      </w:tr>
      <w:tr w:rsidR="00F30C49" w:rsidRPr="00681589" w14:paraId="3B8AB476" w14:textId="77777777" w:rsidTr="001B5CB7">
        <w:tc>
          <w:tcPr>
            <w:tcW w:w="2444" w:type="dxa"/>
            <w:tcBorders>
              <w:top w:val="nil"/>
              <w:left w:val="nil"/>
              <w:bottom w:val="nil"/>
              <w:right w:val="nil"/>
            </w:tcBorders>
          </w:tcPr>
          <w:p w14:paraId="19A61D1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Unique reflections</w:t>
            </w:r>
          </w:p>
        </w:tc>
        <w:tc>
          <w:tcPr>
            <w:tcW w:w="3685" w:type="dxa"/>
            <w:tcBorders>
              <w:top w:val="nil"/>
              <w:left w:val="nil"/>
              <w:bottom w:val="nil"/>
              <w:right w:val="nil"/>
            </w:tcBorders>
            <w:vAlign w:val="center"/>
          </w:tcPr>
          <w:p w14:paraId="14B5C4E8"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58499 (5761)</w:t>
            </w:r>
          </w:p>
        </w:tc>
        <w:tc>
          <w:tcPr>
            <w:tcW w:w="3686" w:type="dxa"/>
            <w:tcBorders>
              <w:top w:val="nil"/>
              <w:left w:val="nil"/>
              <w:bottom w:val="nil"/>
              <w:right w:val="nil"/>
            </w:tcBorders>
            <w:vAlign w:val="center"/>
          </w:tcPr>
          <w:p w14:paraId="1C4FC6CF"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71415 (6959)</w:t>
            </w:r>
          </w:p>
        </w:tc>
      </w:tr>
      <w:tr w:rsidR="00F30C49" w:rsidRPr="00681589" w14:paraId="2D50C8D5" w14:textId="77777777" w:rsidTr="001B5CB7">
        <w:tc>
          <w:tcPr>
            <w:tcW w:w="2444" w:type="dxa"/>
            <w:tcBorders>
              <w:top w:val="nil"/>
              <w:left w:val="nil"/>
              <w:bottom w:val="nil"/>
              <w:right w:val="nil"/>
            </w:tcBorders>
          </w:tcPr>
          <w:p w14:paraId="5339F4B9"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Multiplicity</w:t>
            </w:r>
          </w:p>
        </w:tc>
        <w:tc>
          <w:tcPr>
            <w:tcW w:w="3685" w:type="dxa"/>
            <w:tcBorders>
              <w:top w:val="nil"/>
              <w:left w:val="nil"/>
              <w:bottom w:val="nil"/>
              <w:right w:val="nil"/>
            </w:tcBorders>
            <w:vAlign w:val="center"/>
          </w:tcPr>
          <w:p w14:paraId="716E3F96"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2.0 (2.0)</w:t>
            </w:r>
          </w:p>
        </w:tc>
        <w:tc>
          <w:tcPr>
            <w:tcW w:w="3686" w:type="dxa"/>
            <w:tcBorders>
              <w:top w:val="nil"/>
              <w:left w:val="nil"/>
              <w:bottom w:val="nil"/>
              <w:right w:val="nil"/>
            </w:tcBorders>
            <w:vAlign w:val="center"/>
          </w:tcPr>
          <w:p w14:paraId="2D8A4A4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10.6 (10.2)</w:t>
            </w:r>
          </w:p>
        </w:tc>
      </w:tr>
      <w:tr w:rsidR="00F30C49" w:rsidRPr="00681589" w14:paraId="44C9BA07" w14:textId="77777777" w:rsidTr="001B5CB7">
        <w:tc>
          <w:tcPr>
            <w:tcW w:w="2444" w:type="dxa"/>
            <w:tcBorders>
              <w:top w:val="nil"/>
              <w:left w:val="nil"/>
              <w:bottom w:val="nil"/>
              <w:right w:val="nil"/>
            </w:tcBorders>
          </w:tcPr>
          <w:p w14:paraId="0F3565F4"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Completeness (%)</w:t>
            </w:r>
          </w:p>
        </w:tc>
        <w:tc>
          <w:tcPr>
            <w:tcW w:w="3685" w:type="dxa"/>
            <w:tcBorders>
              <w:top w:val="nil"/>
              <w:left w:val="nil"/>
              <w:bottom w:val="nil"/>
              <w:right w:val="nil"/>
            </w:tcBorders>
            <w:vAlign w:val="center"/>
          </w:tcPr>
          <w:p w14:paraId="0E94FB90"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99.93 (99.97)</w:t>
            </w:r>
          </w:p>
        </w:tc>
        <w:tc>
          <w:tcPr>
            <w:tcW w:w="3686" w:type="dxa"/>
            <w:tcBorders>
              <w:top w:val="nil"/>
              <w:left w:val="nil"/>
              <w:bottom w:val="nil"/>
              <w:right w:val="nil"/>
            </w:tcBorders>
            <w:vAlign w:val="center"/>
          </w:tcPr>
          <w:p w14:paraId="04838674"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99.86 (98.86)</w:t>
            </w:r>
          </w:p>
        </w:tc>
      </w:tr>
      <w:tr w:rsidR="00F30C49" w:rsidRPr="00681589" w14:paraId="3915E576" w14:textId="77777777" w:rsidTr="001B5CB7">
        <w:tc>
          <w:tcPr>
            <w:tcW w:w="2444" w:type="dxa"/>
            <w:tcBorders>
              <w:top w:val="nil"/>
              <w:left w:val="nil"/>
              <w:bottom w:val="nil"/>
              <w:right w:val="nil"/>
            </w:tcBorders>
          </w:tcPr>
          <w:p w14:paraId="09F266A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Mean I/sigma(I)</w:t>
            </w:r>
          </w:p>
        </w:tc>
        <w:tc>
          <w:tcPr>
            <w:tcW w:w="3685" w:type="dxa"/>
            <w:tcBorders>
              <w:top w:val="nil"/>
              <w:left w:val="nil"/>
              <w:bottom w:val="nil"/>
              <w:right w:val="nil"/>
            </w:tcBorders>
            <w:vAlign w:val="center"/>
          </w:tcPr>
          <w:p w14:paraId="3357D7ED"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9.33 (2.66)</w:t>
            </w:r>
          </w:p>
        </w:tc>
        <w:tc>
          <w:tcPr>
            <w:tcW w:w="3686" w:type="dxa"/>
            <w:tcBorders>
              <w:top w:val="nil"/>
              <w:left w:val="nil"/>
              <w:bottom w:val="nil"/>
              <w:right w:val="nil"/>
            </w:tcBorders>
            <w:vAlign w:val="center"/>
          </w:tcPr>
          <w:p w14:paraId="4C0363BB"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9.46 (1.28)</w:t>
            </w:r>
          </w:p>
        </w:tc>
      </w:tr>
      <w:tr w:rsidR="00F30C49" w:rsidRPr="00681589" w14:paraId="637734AB" w14:textId="77777777" w:rsidTr="001B5CB7">
        <w:tc>
          <w:tcPr>
            <w:tcW w:w="2444" w:type="dxa"/>
            <w:tcBorders>
              <w:top w:val="nil"/>
              <w:left w:val="nil"/>
              <w:bottom w:val="nil"/>
              <w:right w:val="nil"/>
            </w:tcBorders>
          </w:tcPr>
          <w:p w14:paraId="1810A242"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Wilson B-factor</w:t>
            </w:r>
          </w:p>
        </w:tc>
        <w:tc>
          <w:tcPr>
            <w:tcW w:w="3685" w:type="dxa"/>
            <w:tcBorders>
              <w:top w:val="nil"/>
              <w:left w:val="nil"/>
              <w:bottom w:val="nil"/>
              <w:right w:val="nil"/>
            </w:tcBorders>
            <w:vAlign w:val="center"/>
          </w:tcPr>
          <w:p w14:paraId="512D6EE7"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16.21</w:t>
            </w:r>
          </w:p>
        </w:tc>
        <w:tc>
          <w:tcPr>
            <w:tcW w:w="3686" w:type="dxa"/>
            <w:tcBorders>
              <w:top w:val="nil"/>
              <w:left w:val="nil"/>
              <w:bottom w:val="nil"/>
              <w:right w:val="nil"/>
            </w:tcBorders>
            <w:vAlign w:val="center"/>
          </w:tcPr>
          <w:p w14:paraId="5704853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18.25</w:t>
            </w:r>
          </w:p>
        </w:tc>
      </w:tr>
      <w:tr w:rsidR="00F30C49" w:rsidRPr="00681589" w14:paraId="0DF6B732" w14:textId="77777777" w:rsidTr="001B5CB7">
        <w:tc>
          <w:tcPr>
            <w:tcW w:w="2444" w:type="dxa"/>
            <w:tcBorders>
              <w:top w:val="nil"/>
              <w:left w:val="nil"/>
              <w:bottom w:val="nil"/>
              <w:right w:val="nil"/>
            </w:tcBorders>
          </w:tcPr>
          <w:p w14:paraId="6F2C6BF8"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R-merge</w:t>
            </w:r>
          </w:p>
        </w:tc>
        <w:tc>
          <w:tcPr>
            <w:tcW w:w="3685" w:type="dxa"/>
            <w:tcBorders>
              <w:top w:val="nil"/>
              <w:left w:val="nil"/>
              <w:bottom w:val="nil"/>
              <w:right w:val="nil"/>
            </w:tcBorders>
            <w:vAlign w:val="center"/>
          </w:tcPr>
          <w:p w14:paraId="1636FFDC"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0.053 (0.245)</w:t>
            </w:r>
          </w:p>
        </w:tc>
        <w:tc>
          <w:tcPr>
            <w:tcW w:w="3686" w:type="dxa"/>
            <w:tcBorders>
              <w:top w:val="nil"/>
              <w:left w:val="nil"/>
              <w:bottom w:val="nil"/>
              <w:right w:val="nil"/>
            </w:tcBorders>
            <w:vAlign w:val="center"/>
          </w:tcPr>
          <w:p w14:paraId="57024AA6"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0.403 (2.741)</w:t>
            </w:r>
          </w:p>
        </w:tc>
      </w:tr>
      <w:tr w:rsidR="00F30C49" w:rsidRPr="00681589" w14:paraId="276C601D" w14:textId="77777777" w:rsidTr="001B5CB7">
        <w:tc>
          <w:tcPr>
            <w:tcW w:w="2444" w:type="dxa"/>
            <w:tcBorders>
              <w:top w:val="nil"/>
              <w:left w:val="nil"/>
              <w:bottom w:val="nil"/>
              <w:right w:val="nil"/>
            </w:tcBorders>
          </w:tcPr>
          <w:p w14:paraId="4CDEBA6D"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w:t>
            </w:r>
            <w:proofErr w:type="spellStart"/>
            <w:r w:rsidRPr="00681589">
              <w:rPr>
                <w:rFonts w:ascii="Century Gothic" w:hAnsi="Century Gothic"/>
                <w:b/>
                <w:bCs/>
                <w:color w:val="000000" w:themeColor="text1"/>
                <w:sz w:val="20"/>
                <w:szCs w:val="20"/>
              </w:rPr>
              <w:t>meas</w:t>
            </w:r>
            <w:proofErr w:type="spellEnd"/>
          </w:p>
        </w:tc>
        <w:tc>
          <w:tcPr>
            <w:tcW w:w="3685" w:type="dxa"/>
            <w:tcBorders>
              <w:top w:val="nil"/>
              <w:left w:val="nil"/>
              <w:bottom w:val="nil"/>
              <w:right w:val="nil"/>
            </w:tcBorders>
            <w:vAlign w:val="center"/>
          </w:tcPr>
          <w:p w14:paraId="17A2C97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0.075 (0.347)</w:t>
            </w:r>
          </w:p>
        </w:tc>
        <w:tc>
          <w:tcPr>
            <w:tcW w:w="3686" w:type="dxa"/>
            <w:tcBorders>
              <w:top w:val="nil"/>
              <w:left w:val="nil"/>
              <w:bottom w:val="nil"/>
              <w:right w:val="nil"/>
            </w:tcBorders>
            <w:vAlign w:val="center"/>
          </w:tcPr>
          <w:p w14:paraId="5B17498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0.423 (2.885)</w:t>
            </w:r>
          </w:p>
        </w:tc>
      </w:tr>
      <w:tr w:rsidR="00F30C49" w:rsidRPr="00681589" w14:paraId="68BF3CB5" w14:textId="77777777" w:rsidTr="001B5CB7">
        <w:tc>
          <w:tcPr>
            <w:tcW w:w="2444" w:type="dxa"/>
            <w:tcBorders>
              <w:top w:val="nil"/>
              <w:left w:val="nil"/>
              <w:bottom w:val="nil"/>
              <w:right w:val="nil"/>
            </w:tcBorders>
          </w:tcPr>
          <w:p w14:paraId="03B0087D"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w:t>
            </w:r>
            <w:proofErr w:type="spellStart"/>
            <w:r w:rsidRPr="00681589">
              <w:rPr>
                <w:rFonts w:ascii="Century Gothic" w:hAnsi="Century Gothic"/>
                <w:b/>
                <w:bCs/>
                <w:color w:val="000000" w:themeColor="text1"/>
                <w:sz w:val="20"/>
                <w:szCs w:val="20"/>
              </w:rPr>
              <w:t>pim</w:t>
            </w:r>
            <w:proofErr w:type="spellEnd"/>
          </w:p>
        </w:tc>
        <w:tc>
          <w:tcPr>
            <w:tcW w:w="3685" w:type="dxa"/>
            <w:tcBorders>
              <w:top w:val="nil"/>
              <w:left w:val="nil"/>
              <w:bottom w:val="nil"/>
              <w:right w:val="nil"/>
            </w:tcBorders>
            <w:vAlign w:val="center"/>
          </w:tcPr>
          <w:p w14:paraId="13424F9F"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0.053 (0.245)</w:t>
            </w:r>
          </w:p>
        </w:tc>
        <w:tc>
          <w:tcPr>
            <w:tcW w:w="3686" w:type="dxa"/>
            <w:tcBorders>
              <w:top w:val="nil"/>
              <w:left w:val="nil"/>
              <w:bottom w:val="nil"/>
              <w:right w:val="nil"/>
            </w:tcBorders>
            <w:vAlign w:val="center"/>
          </w:tcPr>
          <w:p w14:paraId="71F540A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0.127 (0.891)</w:t>
            </w:r>
          </w:p>
        </w:tc>
      </w:tr>
      <w:tr w:rsidR="00F30C49" w:rsidRPr="00681589" w14:paraId="58F8256E" w14:textId="77777777" w:rsidTr="001B5CB7">
        <w:tc>
          <w:tcPr>
            <w:tcW w:w="2444" w:type="dxa"/>
            <w:tcBorders>
              <w:top w:val="nil"/>
              <w:left w:val="nil"/>
              <w:bottom w:val="nil"/>
              <w:right w:val="nil"/>
            </w:tcBorders>
          </w:tcPr>
          <w:p w14:paraId="0B88E25E"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CC</w:t>
            </w:r>
            <w:r w:rsidRPr="00681589">
              <w:rPr>
                <w:rFonts w:ascii="Century Gothic" w:hAnsi="Century Gothic"/>
                <w:b/>
                <w:bCs/>
                <w:color w:val="000000" w:themeColor="text1"/>
                <w:sz w:val="20"/>
                <w:szCs w:val="20"/>
                <w:vertAlign w:val="subscript"/>
              </w:rPr>
              <w:t>1/2</w:t>
            </w:r>
          </w:p>
        </w:tc>
        <w:tc>
          <w:tcPr>
            <w:tcW w:w="3685" w:type="dxa"/>
            <w:tcBorders>
              <w:top w:val="nil"/>
              <w:left w:val="nil"/>
              <w:bottom w:val="nil"/>
              <w:right w:val="nil"/>
            </w:tcBorders>
            <w:vAlign w:val="center"/>
          </w:tcPr>
          <w:p w14:paraId="1D60F83B"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0.997 (0.887)</w:t>
            </w:r>
          </w:p>
        </w:tc>
        <w:tc>
          <w:tcPr>
            <w:tcW w:w="3686" w:type="dxa"/>
            <w:tcBorders>
              <w:top w:val="nil"/>
              <w:left w:val="nil"/>
              <w:bottom w:val="nil"/>
              <w:right w:val="nil"/>
            </w:tcBorders>
            <w:vAlign w:val="center"/>
          </w:tcPr>
          <w:p w14:paraId="2C1FBF3C"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0.995 (0.509)</w:t>
            </w:r>
          </w:p>
        </w:tc>
      </w:tr>
      <w:tr w:rsidR="00F30C49" w:rsidRPr="00681589" w14:paraId="3CA5AD6C" w14:textId="77777777" w:rsidTr="001B5CB7">
        <w:tc>
          <w:tcPr>
            <w:tcW w:w="2444" w:type="dxa"/>
            <w:tcBorders>
              <w:top w:val="nil"/>
              <w:left w:val="nil"/>
              <w:bottom w:val="nil"/>
              <w:right w:val="nil"/>
            </w:tcBorders>
          </w:tcPr>
          <w:p w14:paraId="42C0D57C"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Reflections in refinement</w:t>
            </w:r>
          </w:p>
        </w:tc>
        <w:tc>
          <w:tcPr>
            <w:tcW w:w="3685" w:type="dxa"/>
            <w:tcBorders>
              <w:top w:val="nil"/>
              <w:left w:val="nil"/>
              <w:bottom w:val="nil"/>
              <w:right w:val="nil"/>
            </w:tcBorders>
            <w:vAlign w:val="center"/>
          </w:tcPr>
          <w:p w14:paraId="7ACADECB"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58463 (5759)</w:t>
            </w:r>
          </w:p>
        </w:tc>
        <w:tc>
          <w:tcPr>
            <w:tcW w:w="3686" w:type="dxa"/>
            <w:tcBorders>
              <w:top w:val="nil"/>
              <w:left w:val="nil"/>
              <w:bottom w:val="nil"/>
              <w:right w:val="nil"/>
            </w:tcBorders>
            <w:vAlign w:val="center"/>
          </w:tcPr>
          <w:p w14:paraId="53D20F66"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71415 (6959)</w:t>
            </w:r>
          </w:p>
        </w:tc>
      </w:tr>
      <w:tr w:rsidR="00F30C49" w:rsidRPr="00681589" w14:paraId="0B3AFB86" w14:textId="77777777" w:rsidTr="001B5CB7">
        <w:tc>
          <w:tcPr>
            <w:tcW w:w="2444" w:type="dxa"/>
            <w:tcBorders>
              <w:top w:val="nil"/>
              <w:left w:val="nil"/>
              <w:bottom w:val="nil"/>
              <w:right w:val="nil"/>
            </w:tcBorders>
          </w:tcPr>
          <w:p w14:paraId="3AFADB4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Reflections for R-free</w:t>
            </w:r>
          </w:p>
        </w:tc>
        <w:tc>
          <w:tcPr>
            <w:tcW w:w="3685" w:type="dxa"/>
            <w:tcBorders>
              <w:top w:val="nil"/>
              <w:left w:val="nil"/>
              <w:bottom w:val="nil"/>
              <w:right w:val="nil"/>
            </w:tcBorders>
            <w:vAlign w:val="center"/>
          </w:tcPr>
          <w:p w14:paraId="44BA3058"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2914 (345)</w:t>
            </w:r>
          </w:p>
        </w:tc>
        <w:tc>
          <w:tcPr>
            <w:tcW w:w="3686" w:type="dxa"/>
            <w:tcBorders>
              <w:top w:val="nil"/>
              <w:left w:val="nil"/>
              <w:bottom w:val="nil"/>
              <w:right w:val="nil"/>
            </w:tcBorders>
            <w:vAlign w:val="center"/>
          </w:tcPr>
          <w:p w14:paraId="35DD70B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3571 (348)</w:t>
            </w:r>
          </w:p>
        </w:tc>
      </w:tr>
      <w:tr w:rsidR="00F30C49" w:rsidRPr="00681589" w14:paraId="0238FDE9" w14:textId="77777777" w:rsidTr="001B5CB7">
        <w:tc>
          <w:tcPr>
            <w:tcW w:w="2444" w:type="dxa"/>
            <w:tcBorders>
              <w:top w:val="nil"/>
              <w:left w:val="nil"/>
              <w:bottom w:val="nil"/>
              <w:right w:val="nil"/>
            </w:tcBorders>
          </w:tcPr>
          <w:p w14:paraId="70CFF6A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Refinement</w:t>
            </w:r>
          </w:p>
        </w:tc>
        <w:tc>
          <w:tcPr>
            <w:tcW w:w="3685" w:type="dxa"/>
            <w:tcBorders>
              <w:top w:val="nil"/>
              <w:left w:val="nil"/>
              <w:bottom w:val="nil"/>
              <w:right w:val="nil"/>
            </w:tcBorders>
            <w:vAlign w:val="center"/>
          </w:tcPr>
          <w:p w14:paraId="75356C1B" w14:textId="77777777" w:rsidR="00F30C49" w:rsidRPr="00681589" w:rsidRDefault="00F30C49" w:rsidP="00E40C2F">
            <w:pPr>
              <w:jc w:val="right"/>
              <w:rPr>
                <w:rFonts w:ascii="Century Gothic" w:hAnsi="Century Gothic"/>
                <w:sz w:val="20"/>
                <w:szCs w:val="20"/>
              </w:rPr>
            </w:pPr>
          </w:p>
        </w:tc>
        <w:tc>
          <w:tcPr>
            <w:tcW w:w="3686" w:type="dxa"/>
            <w:tcBorders>
              <w:top w:val="nil"/>
              <w:left w:val="nil"/>
              <w:bottom w:val="nil"/>
              <w:right w:val="nil"/>
            </w:tcBorders>
            <w:vAlign w:val="center"/>
          </w:tcPr>
          <w:p w14:paraId="1D813E1F" w14:textId="77777777" w:rsidR="00F30C49" w:rsidRPr="00681589" w:rsidRDefault="00F30C49" w:rsidP="00E40C2F">
            <w:pPr>
              <w:jc w:val="right"/>
              <w:rPr>
                <w:rFonts w:ascii="Century Gothic" w:hAnsi="Century Gothic"/>
                <w:sz w:val="20"/>
                <w:szCs w:val="20"/>
              </w:rPr>
            </w:pPr>
          </w:p>
        </w:tc>
      </w:tr>
      <w:tr w:rsidR="00F30C49" w:rsidRPr="00681589" w14:paraId="0950A3CD" w14:textId="77777777" w:rsidTr="001B5CB7">
        <w:tc>
          <w:tcPr>
            <w:tcW w:w="2444" w:type="dxa"/>
            <w:tcBorders>
              <w:top w:val="nil"/>
              <w:left w:val="nil"/>
              <w:bottom w:val="nil"/>
              <w:right w:val="nil"/>
            </w:tcBorders>
          </w:tcPr>
          <w:p w14:paraId="5F719488"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t>
            </w:r>
            <w:proofErr w:type="spellStart"/>
            <w:r w:rsidRPr="00681589">
              <w:rPr>
                <w:rFonts w:ascii="Century Gothic" w:hAnsi="Century Gothic"/>
                <w:b/>
                <w:bCs/>
                <w:color w:val="000000" w:themeColor="text1"/>
                <w:sz w:val="20"/>
                <w:szCs w:val="20"/>
              </w:rPr>
              <w:t>R</w:t>
            </w:r>
            <w:r w:rsidRPr="00681589">
              <w:rPr>
                <w:rFonts w:ascii="Century Gothic" w:hAnsi="Century Gothic"/>
                <w:b/>
                <w:bCs/>
                <w:color w:val="000000" w:themeColor="text1"/>
                <w:sz w:val="20"/>
                <w:szCs w:val="20"/>
                <w:vertAlign w:val="subscript"/>
              </w:rPr>
              <w:t>work</w:t>
            </w:r>
            <w:proofErr w:type="spellEnd"/>
            <w:r w:rsidRPr="00681589">
              <w:rPr>
                <w:rFonts w:ascii="Century Gothic" w:hAnsi="Century Gothic"/>
                <w:b/>
                <w:bCs/>
                <w:color w:val="000000" w:themeColor="text1"/>
                <w:sz w:val="20"/>
                <w:szCs w:val="20"/>
                <w:vertAlign w:val="subscript"/>
              </w:rPr>
              <w:t xml:space="preserve"> </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235C0AC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0.172 (0.199)</w:t>
            </w:r>
          </w:p>
        </w:tc>
        <w:tc>
          <w:tcPr>
            <w:tcW w:w="3686" w:type="dxa"/>
            <w:tcBorders>
              <w:top w:val="nil"/>
              <w:left w:val="nil"/>
              <w:bottom w:val="nil"/>
              <w:right w:val="nil"/>
            </w:tcBorders>
            <w:vAlign w:val="center"/>
          </w:tcPr>
          <w:p w14:paraId="1D16A8A6"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0.174 (0.315)</w:t>
            </w:r>
          </w:p>
        </w:tc>
      </w:tr>
      <w:tr w:rsidR="00F30C49" w:rsidRPr="00681589" w14:paraId="0C0AF977" w14:textId="77777777" w:rsidTr="001B5CB7">
        <w:tc>
          <w:tcPr>
            <w:tcW w:w="2444" w:type="dxa"/>
            <w:tcBorders>
              <w:top w:val="nil"/>
              <w:left w:val="nil"/>
              <w:bottom w:val="nil"/>
              <w:right w:val="nil"/>
            </w:tcBorders>
          </w:tcPr>
          <w:p w14:paraId="75A8AB7D"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t>
            </w:r>
            <w:proofErr w:type="spellStart"/>
            <w:r w:rsidRPr="00681589">
              <w:rPr>
                <w:rFonts w:ascii="Century Gothic" w:hAnsi="Century Gothic"/>
                <w:b/>
                <w:bCs/>
                <w:color w:val="000000" w:themeColor="text1"/>
                <w:sz w:val="20"/>
                <w:szCs w:val="20"/>
              </w:rPr>
              <w:t>R</w:t>
            </w:r>
            <w:r w:rsidRPr="00681589">
              <w:rPr>
                <w:rFonts w:ascii="Century Gothic" w:hAnsi="Century Gothic"/>
                <w:b/>
                <w:bCs/>
                <w:color w:val="000000" w:themeColor="text1"/>
                <w:sz w:val="20"/>
                <w:szCs w:val="20"/>
                <w:vertAlign w:val="subscript"/>
              </w:rPr>
              <w:t>free</w:t>
            </w:r>
            <w:proofErr w:type="spellEnd"/>
            <w:r w:rsidRPr="00681589">
              <w:rPr>
                <w:rFonts w:ascii="Century Gothic" w:hAnsi="Century Gothic"/>
                <w:b/>
                <w:bCs/>
                <w:color w:val="000000" w:themeColor="text1"/>
                <w:sz w:val="20"/>
                <w:szCs w:val="20"/>
                <w:vertAlign w:val="subscript"/>
              </w:rPr>
              <w:t xml:space="preserve"> </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62C7C734"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0.203 (0.240)</w:t>
            </w:r>
          </w:p>
        </w:tc>
        <w:tc>
          <w:tcPr>
            <w:tcW w:w="3686" w:type="dxa"/>
            <w:tcBorders>
              <w:top w:val="nil"/>
              <w:left w:val="nil"/>
              <w:bottom w:val="nil"/>
              <w:right w:val="nil"/>
            </w:tcBorders>
            <w:vAlign w:val="center"/>
          </w:tcPr>
          <w:p w14:paraId="25320C34"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0.215 (0.324)</w:t>
            </w:r>
          </w:p>
        </w:tc>
      </w:tr>
      <w:tr w:rsidR="00F30C49" w:rsidRPr="00681589" w14:paraId="5C898992" w14:textId="77777777" w:rsidTr="001B5CB7">
        <w:tc>
          <w:tcPr>
            <w:tcW w:w="2444" w:type="dxa"/>
            <w:tcBorders>
              <w:top w:val="nil"/>
              <w:left w:val="nil"/>
              <w:bottom w:val="nil"/>
              <w:right w:val="nil"/>
            </w:tcBorders>
          </w:tcPr>
          <w:p w14:paraId="1C110427"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t>
            </w:r>
            <w:proofErr w:type="gramStart"/>
            <w:r w:rsidRPr="00681589">
              <w:rPr>
                <w:rFonts w:ascii="Century Gothic" w:hAnsi="Century Gothic"/>
                <w:b/>
                <w:bCs/>
                <w:color w:val="000000" w:themeColor="text1"/>
                <w:sz w:val="20"/>
                <w:szCs w:val="20"/>
              </w:rPr>
              <w:t>CC(</w:t>
            </w:r>
            <w:proofErr w:type="gramEnd"/>
            <w:r w:rsidRPr="00681589">
              <w:rPr>
                <w:rFonts w:ascii="Century Gothic" w:hAnsi="Century Gothic"/>
                <w:b/>
                <w:bCs/>
                <w:color w:val="000000" w:themeColor="text1"/>
                <w:sz w:val="20"/>
                <w:szCs w:val="20"/>
              </w:rPr>
              <w:t>work)</w:t>
            </w:r>
          </w:p>
        </w:tc>
        <w:tc>
          <w:tcPr>
            <w:tcW w:w="3685" w:type="dxa"/>
            <w:tcBorders>
              <w:top w:val="nil"/>
              <w:left w:val="nil"/>
              <w:bottom w:val="nil"/>
              <w:right w:val="nil"/>
            </w:tcBorders>
            <w:vAlign w:val="center"/>
          </w:tcPr>
          <w:p w14:paraId="53D90F4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0.963 (0.933)</w:t>
            </w:r>
          </w:p>
        </w:tc>
        <w:tc>
          <w:tcPr>
            <w:tcW w:w="3686" w:type="dxa"/>
            <w:tcBorders>
              <w:top w:val="nil"/>
              <w:left w:val="nil"/>
              <w:bottom w:val="nil"/>
              <w:right w:val="nil"/>
            </w:tcBorders>
            <w:vAlign w:val="center"/>
          </w:tcPr>
          <w:p w14:paraId="492CF39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0.964 (0.716)</w:t>
            </w:r>
          </w:p>
        </w:tc>
      </w:tr>
      <w:tr w:rsidR="00F30C49" w:rsidRPr="00681589" w14:paraId="7463EFA3" w14:textId="77777777" w:rsidTr="001B5CB7">
        <w:tc>
          <w:tcPr>
            <w:tcW w:w="2444" w:type="dxa"/>
            <w:tcBorders>
              <w:top w:val="nil"/>
              <w:left w:val="nil"/>
              <w:bottom w:val="nil"/>
              <w:right w:val="nil"/>
            </w:tcBorders>
          </w:tcPr>
          <w:p w14:paraId="236F9C34"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t>
            </w:r>
            <w:proofErr w:type="gramStart"/>
            <w:r w:rsidRPr="00681589">
              <w:rPr>
                <w:rFonts w:ascii="Century Gothic" w:hAnsi="Century Gothic"/>
                <w:b/>
                <w:bCs/>
                <w:color w:val="000000" w:themeColor="text1"/>
                <w:sz w:val="20"/>
                <w:szCs w:val="20"/>
              </w:rPr>
              <w:t>CC(</w:t>
            </w:r>
            <w:proofErr w:type="gramEnd"/>
            <w:r w:rsidRPr="00681589">
              <w:rPr>
                <w:rFonts w:ascii="Century Gothic" w:hAnsi="Century Gothic"/>
                <w:b/>
                <w:bCs/>
                <w:color w:val="000000" w:themeColor="text1"/>
                <w:sz w:val="20"/>
                <w:szCs w:val="20"/>
              </w:rPr>
              <w:t>free)</w:t>
            </w:r>
          </w:p>
        </w:tc>
        <w:tc>
          <w:tcPr>
            <w:tcW w:w="3685" w:type="dxa"/>
            <w:tcBorders>
              <w:top w:val="nil"/>
              <w:left w:val="nil"/>
              <w:bottom w:val="nil"/>
              <w:right w:val="nil"/>
            </w:tcBorders>
            <w:vAlign w:val="center"/>
          </w:tcPr>
          <w:p w14:paraId="0BC83B87"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0.947 (0.901)</w:t>
            </w:r>
          </w:p>
        </w:tc>
        <w:tc>
          <w:tcPr>
            <w:tcW w:w="3686" w:type="dxa"/>
            <w:tcBorders>
              <w:top w:val="nil"/>
              <w:left w:val="nil"/>
              <w:bottom w:val="nil"/>
              <w:right w:val="nil"/>
            </w:tcBorders>
            <w:vAlign w:val="center"/>
          </w:tcPr>
          <w:p w14:paraId="1BA06C3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0.941 (0.638)</w:t>
            </w:r>
          </w:p>
        </w:tc>
      </w:tr>
      <w:tr w:rsidR="00F30C49" w:rsidRPr="00681589" w14:paraId="6777D8B0" w14:textId="77777777" w:rsidTr="001B5CB7">
        <w:tc>
          <w:tcPr>
            <w:tcW w:w="2444" w:type="dxa"/>
            <w:tcBorders>
              <w:top w:val="nil"/>
              <w:left w:val="nil"/>
              <w:bottom w:val="nil"/>
              <w:right w:val="nil"/>
            </w:tcBorders>
          </w:tcPr>
          <w:p w14:paraId="38ED3DDF"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RMS bonds(</w:t>
            </w:r>
            <w:r w:rsidRPr="00681589">
              <w:rPr>
                <w:rFonts w:ascii="Century Gothic" w:hAnsi="Century Gothic" w:cs="Arial"/>
                <w:b/>
                <w:bCs/>
                <w:color w:val="000000" w:themeColor="text1"/>
                <w:sz w:val="20"/>
                <w:szCs w:val="20"/>
              </w:rPr>
              <w:t>Å</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006B5F0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0.006</w:t>
            </w:r>
          </w:p>
        </w:tc>
        <w:tc>
          <w:tcPr>
            <w:tcW w:w="3686" w:type="dxa"/>
            <w:tcBorders>
              <w:top w:val="nil"/>
              <w:left w:val="nil"/>
              <w:bottom w:val="nil"/>
              <w:right w:val="nil"/>
            </w:tcBorders>
            <w:vAlign w:val="center"/>
          </w:tcPr>
          <w:p w14:paraId="3228EF7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0.014</w:t>
            </w:r>
          </w:p>
        </w:tc>
      </w:tr>
      <w:tr w:rsidR="00F30C49" w:rsidRPr="00681589" w14:paraId="1AE62622" w14:textId="77777777" w:rsidTr="001B5CB7">
        <w:tc>
          <w:tcPr>
            <w:tcW w:w="2444" w:type="dxa"/>
            <w:tcBorders>
              <w:top w:val="nil"/>
              <w:left w:val="nil"/>
              <w:bottom w:val="nil"/>
              <w:right w:val="nil"/>
            </w:tcBorders>
          </w:tcPr>
          <w:p w14:paraId="7BC0B435"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RMS angles(</w:t>
            </w:r>
            <w:r w:rsidRPr="00681589">
              <w:rPr>
                <w:rFonts w:ascii="Century Gothic" w:hAnsi="Century Gothic"/>
                <w:b/>
                <w:bCs/>
                <w:color w:val="000000" w:themeColor="text1"/>
                <w:sz w:val="20"/>
                <w:szCs w:val="20"/>
                <w:vertAlign w:val="superscript"/>
              </w:rPr>
              <w:t>o</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2ACE5CB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1.40</w:t>
            </w:r>
          </w:p>
        </w:tc>
        <w:tc>
          <w:tcPr>
            <w:tcW w:w="3686" w:type="dxa"/>
            <w:tcBorders>
              <w:top w:val="nil"/>
              <w:left w:val="nil"/>
              <w:bottom w:val="nil"/>
              <w:right w:val="nil"/>
            </w:tcBorders>
            <w:vAlign w:val="center"/>
          </w:tcPr>
          <w:p w14:paraId="49C80EA2"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1.83</w:t>
            </w:r>
          </w:p>
        </w:tc>
      </w:tr>
      <w:tr w:rsidR="00F30C49" w:rsidRPr="00681589" w14:paraId="440E3FBB" w14:textId="77777777" w:rsidTr="001B5CB7">
        <w:tc>
          <w:tcPr>
            <w:tcW w:w="2444" w:type="dxa"/>
            <w:tcBorders>
              <w:top w:val="nil"/>
              <w:left w:val="nil"/>
              <w:bottom w:val="nil"/>
              <w:right w:val="nil"/>
            </w:tcBorders>
          </w:tcPr>
          <w:p w14:paraId="0A51B28F"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Ramachandran statistics</w:t>
            </w:r>
          </w:p>
        </w:tc>
        <w:tc>
          <w:tcPr>
            <w:tcW w:w="3685" w:type="dxa"/>
            <w:tcBorders>
              <w:top w:val="nil"/>
              <w:left w:val="nil"/>
              <w:bottom w:val="nil"/>
              <w:right w:val="nil"/>
            </w:tcBorders>
            <w:vAlign w:val="center"/>
          </w:tcPr>
          <w:p w14:paraId="7B3BC102" w14:textId="77777777" w:rsidR="00F30C49" w:rsidRPr="00681589" w:rsidRDefault="00F30C49" w:rsidP="00E40C2F">
            <w:pPr>
              <w:jc w:val="right"/>
              <w:rPr>
                <w:rFonts w:ascii="Century Gothic" w:hAnsi="Century Gothic"/>
                <w:sz w:val="20"/>
                <w:szCs w:val="20"/>
              </w:rPr>
            </w:pPr>
          </w:p>
        </w:tc>
        <w:tc>
          <w:tcPr>
            <w:tcW w:w="3686" w:type="dxa"/>
            <w:tcBorders>
              <w:top w:val="nil"/>
              <w:left w:val="nil"/>
              <w:bottom w:val="nil"/>
              <w:right w:val="nil"/>
            </w:tcBorders>
            <w:vAlign w:val="center"/>
          </w:tcPr>
          <w:p w14:paraId="3E68583F" w14:textId="77777777" w:rsidR="00F30C49" w:rsidRPr="00681589" w:rsidRDefault="00F30C49" w:rsidP="00E40C2F">
            <w:pPr>
              <w:jc w:val="right"/>
              <w:rPr>
                <w:rFonts w:ascii="Century Gothic" w:hAnsi="Century Gothic"/>
                <w:sz w:val="20"/>
                <w:szCs w:val="20"/>
              </w:rPr>
            </w:pPr>
          </w:p>
        </w:tc>
      </w:tr>
      <w:tr w:rsidR="00F30C49" w:rsidRPr="00681589" w14:paraId="07F2D7BD" w14:textId="77777777" w:rsidTr="001B5CB7">
        <w:tc>
          <w:tcPr>
            <w:tcW w:w="2444" w:type="dxa"/>
            <w:tcBorders>
              <w:top w:val="nil"/>
              <w:left w:val="nil"/>
              <w:bottom w:val="nil"/>
              <w:right w:val="nil"/>
            </w:tcBorders>
          </w:tcPr>
          <w:p w14:paraId="71AFB06A"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Favored (%)</w:t>
            </w:r>
          </w:p>
        </w:tc>
        <w:tc>
          <w:tcPr>
            <w:tcW w:w="3685" w:type="dxa"/>
            <w:tcBorders>
              <w:top w:val="nil"/>
              <w:left w:val="nil"/>
              <w:bottom w:val="nil"/>
              <w:right w:val="nil"/>
            </w:tcBorders>
            <w:vAlign w:val="center"/>
          </w:tcPr>
          <w:p w14:paraId="7C0FB748"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98.29</w:t>
            </w:r>
          </w:p>
        </w:tc>
        <w:tc>
          <w:tcPr>
            <w:tcW w:w="3686" w:type="dxa"/>
            <w:tcBorders>
              <w:top w:val="nil"/>
              <w:left w:val="nil"/>
              <w:bottom w:val="nil"/>
              <w:right w:val="nil"/>
            </w:tcBorders>
            <w:vAlign w:val="center"/>
          </w:tcPr>
          <w:p w14:paraId="01F75134"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98.44</w:t>
            </w:r>
          </w:p>
        </w:tc>
      </w:tr>
      <w:tr w:rsidR="00F30C49" w:rsidRPr="00681589" w14:paraId="2D250CF7" w14:textId="77777777" w:rsidTr="001B5CB7">
        <w:tc>
          <w:tcPr>
            <w:tcW w:w="2444" w:type="dxa"/>
            <w:tcBorders>
              <w:top w:val="nil"/>
              <w:left w:val="nil"/>
              <w:bottom w:val="nil"/>
              <w:right w:val="nil"/>
            </w:tcBorders>
          </w:tcPr>
          <w:p w14:paraId="0A4B28B6"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Allowed (%)</w:t>
            </w:r>
          </w:p>
        </w:tc>
        <w:tc>
          <w:tcPr>
            <w:tcW w:w="3685" w:type="dxa"/>
            <w:tcBorders>
              <w:top w:val="nil"/>
              <w:left w:val="nil"/>
              <w:bottom w:val="nil"/>
              <w:right w:val="nil"/>
            </w:tcBorders>
            <w:vAlign w:val="center"/>
          </w:tcPr>
          <w:p w14:paraId="00657753"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1.71</w:t>
            </w:r>
          </w:p>
        </w:tc>
        <w:tc>
          <w:tcPr>
            <w:tcW w:w="3686" w:type="dxa"/>
            <w:tcBorders>
              <w:top w:val="nil"/>
              <w:left w:val="nil"/>
              <w:bottom w:val="nil"/>
              <w:right w:val="nil"/>
            </w:tcBorders>
            <w:vAlign w:val="center"/>
          </w:tcPr>
          <w:p w14:paraId="4F9F4BA0"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1.56</w:t>
            </w:r>
          </w:p>
        </w:tc>
      </w:tr>
      <w:tr w:rsidR="00F30C49" w:rsidRPr="00681589" w14:paraId="7D825743" w14:textId="77777777" w:rsidTr="001B5CB7">
        <w:tc>
          <w:tcPr>
            <w:tcW w:w="2444" w:type="dxa"/>
            <w:tcBorders>
              <w:top w:val="nil"/>
              <w:left w:val="nil"/>
              <w:bottom w:val="nil"/>
              <w:right w:val="nil"/>
            </w:tcBorders>
          </w:tcPr>
          <w:p w14:paraId="016F1C20"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Outliers (%)</w:t>
            </w:r>
          </w:p>
        </w:tc>
        <w:tc>
          <w:tcPr>
            <w:tcW w:w="3685" w:type="dxa"/>
            <w:tcBorders>
              <w:top w:val="nil"/>
              <w:left w:val="nil"/>
              <w:bottom w:val="nil"/>
              <w:right w:val="nil"/>
            </w:tcBorders>
            <w:vAlign w:val="center"/>
          </w:tcPr>
          <w:p w14:paraId="1E96BA8A"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0.00</w:t>
            </w:r>
          </w:p>
        </w:tc>
        <w:tc>
          <w:tcPr>
            <w:tcW w:w="3686" w:type="dxa"/>
            <w:tcBorders>
              <w:top w:val="nil"/>
              <w:left w:val="nil"/>
              <w:bottom w:val="nil"/>
              <w:right w:val="nil"/>
            </w:tcBorders>
            <w:vAlign w:val="center"/>
          </w:tcPr>
          <w:p w14:paraId="177EFB7B"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0.00</w:t>
            </w:r>
          </w:p>
        </w:tc>
      </w:tr>
      <w:tr w:rsidR="00F30C49" w:rsidRPr="00681589" w14:paraId="6B57D5B0" w14:textId="77777777" w:rsidTr="001B5CB7">
        <w:tc>
          <w:tcPr>
            <w:tcW w:w="2444" w:type="dxa"/>
            <w:tcBorders>
              <w:top w:val="nil"/>
              <w:left w:val="nil"/>
              <w:bottom w:val="nil"/>
              <w:right w:val="nil"/>
            </w:tcBorders>
          </w:tcPr>
          <w:p w14:paraId="0C5AA908"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Rotamer outliers (%)</w:t>
            </w:r>
          </w:p>
        </w:tc>
        <w:tc>
          <w:tcPr>
            <w:tcW w:w="3685" w:type="dxa"/>
            <w:tcBorders>
              <w:top w:val="nil"/>
              <w:left w:val="nil"/>
              <w:bottom w:val="nil"/>
              <w:right w:val="nil"/>
            </w:tcBorders>
            <w:vAlign w:val="center"/>
          </w:tcPr>
          <w:p w14:paraId="0D134132"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0.00</w:t>
            </w:r>
          </w:p>
        </w:tc>
        <w:tc>
          <w:tcPr>
            <w:tcW w:w="3686" w:type="dxa"/>
            <w:tcBorders>
              <w:top w:val="nil"/>
              <w:left w:val="nil"/>
              <w:bottom w:val="nil"/>
              <w:right w:val="nil"/>
            </w:tcBorders>
            <w:vAlign w:val="center"/>
          </w:tcPr>
          <w:p w14:paraId="36B8D1DD"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3.39</w:t>
            </w:r>
          </w:p>
        </w:tc>
      </w:tr>
      <w:tr w:rsidR="00F30C49" w:rsidRPr="00681589" w14:paraId="7ED8EFCE" w14:textId="77777777" w:rsidTr="001B5CB7">
        <w:tc>
          <w:tcPr>
            <w:tcW w:w="2444" w:type="dxa"/>
            <w:tcBorders>
              <w:top w:val="nil"/>
              <w:left w:val="nil"/>
              <w:bottom w:val="nil"/>
              <w:right w:val="nil"/>
            </w:tcBorders>
          </w:tcPr>
          <w:p w14:paraId="23ADA8F1"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w:t>
            </w:r>
            <w:proofErr w:type="spellStart"/>
            <w:r w:rsidRPr="00681589">
              <w:rPr>
                <w:rFonts w:ascii="Century Gothic" w:hAnsi="Century Gothic"/>
                <w:b/>
                <w:bCs/>
                <w:color w:val="000000" w:themeColor="text1"/>
                <w:sz w:val="20"/>
                <w:szCs w:val="20"/>
              </w:rPr>
              <w:t>Clashscore</w:t>
            </w:r>
            <w:proofErr w:type="spellEnd"/>
          </w:p>
        </w:tc>
        <w:tc>
          <w:tcPr>
            <w:tcW w:w="3685" w:type="dxa"/>
            <w:tcBorders>
              <w:top w:val="nil"/>
              <w:left w:val="nil"/>
              <w:bottom w:val="nil"/>
              <w:right w:val="nil"/>
            </w:tcBorders>
            <w:vAlign w:val="center"/>
          </w:tcPr>
          <w:p w14:paraId="5836DD85"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7.80</w:t>
            </w:r>
          </w:p>
        </w:tc>
        <w:tc>
          <w:tcPr>
            <w:tcW w:w="3686" w:type="dxa"/>
            <w:tcBorders>
              <w:top w:val="nil"/>
              <w:left w:val="nil"/>
              <w:bottom w:val="nil"/>
              <w:right w:val="nil"/>
            </w:tcBorders>
            <w:vAlign w:val="center"/>
          </w:tcPr>
          <w:p w14:paraId="4BDD2B74"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5.29</w:t>
            </w:r>
          </w:p>
        </w:tc>
      </w:tr>
      <w:tr w:rsidR="00F30C49" w:rsidRPr="00681589" w14:paraId="0703F333" w14:textId="77777777" w:rsidTr="001B5CB7">
        <w:tc>
          <w:tcPr>
            <w:tcW w:w="2444" w:type="dxa"/>
            <w:tcBorders>
              <w:top w:val="nil"/>
              <w:left w:val="nil"/>
              <w:bottom w:val="nil"/>
              <w:right w:val="nil"/>
            </w:tcBorders>
          </w:tcPr>
          <w:p w14:paraId="6374BCE7"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Average B-factor (</w:t>
            </w:r>
            <w:r w:rsidRPr="00681589">
              <w:rPr>
                <w:rFonts w:ascii="Century Gothic" w:hAnsi="Century Gothic" w:cs="Arial"/>
                <w:b/>
                <w:bCs/>
                <w:color w:val="000000" w:themeColor="text1"/>
                <w:sz w:val="20"/>
                <w:szCs w:val="20"/>
              </w:rPr>
              <w:t>Å</w:t>
            </w:r>
            <w:r w:rsidRPr="00681589">
              <w:rPr>
                <w:rFonts w:ascii="Century Gothic" w:hAnsi="Century Gothic" w:cs="Arial"/>
                <w:b/>
                <w:bCs/>
                <w:color w:val="000000" w:themeColor="text1"/>
                <w:sz w:val="20"/>
                <w:szCs w:val="20"/>
                <w:vertAlign w:val="superscript"/>
              </w:rPr>
              <w:t>2</w:t>
            </w:r>
            <w:r w:rsidRPr="00681589">
              <w:rPr>
                <w:rFonts w:ascii="Century Gothic" w:hAnsi="Century Gothic"/>
                <w:b/>
                <w:bCs/>
                <w:color w:val="000000" w:themeColor="text1"/>
                <w:sz w:val="20"/>
                <w:szCs w:val="20"/>
              </w:rPr>
              <w:t>)</w:t>
            </w:r>
          </w:p>
        </w:tc>
        <w:tc>
          <w:tcPr>
            <w:tcW w:w="3685" w:type="dxa"/>
            <w:tcBorders>
              <w:top w:val="nil"/>
              <w:left w:val="nil"/>
              <w:bottom w:val="nil"/>
              <w:right w:val="nil"/>
            </w:tcBorders>
            <w:vAlign w:val="center"/>
          </w:tcPr>
          <w:p w14:paraId="107FC88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20.25</w:t>
            </w:r>
          </w:p>
        </w:tc>
        <w:tc>
          <w:tcPr>
            <w:tcW w:w="3686" w:type="dxa"/>
            <w:tcBorders>
              <w:top w:val="nil"/>
              <w:left w:val="nil"/>
              <w:bottom w:val="nil"/>
              <w:right w:val="nil"/>
            </w:tcBorders>
            <w:vAlign w:val="center"/>
          </w:tcPr>
          <w:p w14:paraId="113DB2E0"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22.08</w:t>
            </w:r>
          </w:p>
        </w:tc>
      </w:tr>
      <w:tr w:rsidR="00F30C49" w:rsidRPr="00681589" w14:paraId="2854D014" w14:textId="77777777" w:rsidTr="001B5CB7">
        <w:tc>
          <w:tcPr>
            <w:tcW w:w="2444" w:type="dxa"/>
            <w:tcBorders>
              <w:top w:val="nil"/>
              <w:left w:val="nil"/>
              <w:bottom w:val="nil"/>
              <w:right w:val="nil"/>
            </w:tcBorders>
          </w:tcPr>
          <w:p w14:paraId="3D95AB5E"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macromolecules</w:t>
            </w:r>
          </w:p>
        </w:tc>
        <w:tc>
          <w:tcPr>
            <w:tcW w:w="3685" w:type="dxa"/>
            <w:tcBorders>
              <w:top w:val="nil"/>
              <w:left w:val="nil"/>
              <w:bottom w:val="nil"/>
              <w:right w:val="nil"/>
            </w:tcBorders>
            <w:vAlign w:val="center"/>
          </w:tcPr>
          <w:p w14:paraId="31DC05B3"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17.96</w:t>
            </w:r>
          </w:p>
        </w:tc>
        <w:tc>
          <w:tcPr>
            <w:tcW w:w="3686" w:type="dxa"/>
            <w:tcBorders>
              <w:top w:val="nil"/>
              <w:left w:val="nil"/>
              <w:bottom w:val="nil"/>
              <w:right w:val="nil"/>
            </w:tcBorders>
            <w:vAlign w:val="center"/>
          </w:tcPr>
          <w:p w14:paraId="60D3619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20.31</w:t>
            </w:r>
          </w:p>
        </w:tc>
      </w:tr>
      <w:tr w:rsidR="00F30C49" w:rsidRPr="00681589" w14:paraId="1DE1FBCD" w14:textId="77777777" w:rsidTr="001B5CB7">
        <w:tc>
          <w:tcPr>
            <w:tcW w:w="2444" w:type="dxa"/>
            <w:tcBorders>
              <w:top w:val="nil"/>
              <w:left w:val="nil"/>
              <w:right w:val="nil"/>
            </w:tcBorders>
          </w:tcPr>
          <w:p w14:paraId="58BF5566"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ligands</w:t>
            </w:r>
          </w:p>
        </w:tc>
        <w:tc>
          <w:tcPr>
            <w:tcW w:w="3685" w:type="dxa"/>
            <w:tcBorders>
              <w:top w:val="nil"/>
              <w:left w:val="nil"/>
              <w:right w:val="nil"/>
            </w:tcBorders>
            <w:vAlign w:val="center"/>
          </w:tcPr>
          <w:p w14:paraId="3F3C047E"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23.80</w:t>
            </w:r>
          </w:p>
        </w:tc>
        <w:tc>
          <w:tcPr>
            <w:tcW w:w="3686" w:type="dxa"/>
            <w:tcBorders>
              <w:top w:val="nil"/>
              <w:left w:val="nil"/>
              <w:right w:val="nil"/>
            </w:tcBorders>
            <w:vAlign w:val="center"/>
          </w:tcPr>
          <w:p w14:paraId="7C8538D3"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50.57</w:t>
            </w:r>
          </w:p>
        </w:tc>
      </w:tr>
      <w:tr w:rsidR="00F30C49" w:rsidRPr="00681589" w14:paraId="79C4D68B" w14:textId="77777777" w:rsidTr="001B5CB7">
        <w:tc>
          <w:tcPr>
            <w:tcW w:w="2444" w:type="dxa"/>
            <w:tcBorders>
              <w:top w:val="nil"/>
              <w:left w:val="nil"/>
              <w:bottom w:val="single" w:sz="4" w:space="0" w:color="auto"/>
              <w:right w:val="nil"/>
            </w:tcBorders>
          </w:tcPr>
          <w:p w14:paraId="0185B8C6" w14:textId="77777777" w:rsidR="00F30C49" w:rsidRPr="00681589" w:rsidRDefault="00F30C49" w:rsidP="00E40C2F">
            <w:pPr>
              <w:pStyle w:val="Heading2"/>
              <w:spacing w:before="0"/>
              <w:rPr>
                <w:rFonts w:ascii="Century Gothic" w:hAnsi="Century Gothic"/>
                <w:b/>
                <w:bCs/>
                <w:color w:val="000000" w:themeColor="text1"/>
                <w:sz w:val="20"/>
                <w:szCs w:val="20"/>
              </w:rPr>
            </w:pPr>
            <w:r w:rsidRPr="00681589">
              <w:rPr>
                <w:rFonts w:ascii="Century Gothic" w:hAnsi="Century Gothic"/>
                <w:b/>
                <w:bCs/>
                <w:color w:val="000000" w:themeColor="text1"/>
                <w:sz w:val="20"/>
                <w:szCs w:val="20"/>
              </w:rPr>
              <w:t xml:space="preserve">   solvent</w:t>
            </w:r>
          </w:p>
        </w:tc>
        <w:tc>
          <w:tcPr>
            <w:tcW w:w="3685" w:type="dxa"/>
            <w:tcBorders>
              <w:top w:val="nil"/>
              <w:left w:val="nil"/>
              <w:bottom w:val="single" w:sz="4" w:space="0" w:color="auto"/>
              <w:right w:val="nil"/>
            </w:tcBorders>
            <w:vAlign w:val="center"/>
          </w:tcPr>
          <w:p w14:paraId="020E3A7B"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31.81</w:t>
            </w:r>
          </w:p>
        </w:tc>
        <w:tc>
          <w:tcPr>
            <w:tcW w:w="3686" w:type="dxa"/>
            <w:tcBorders>
              <w:top w:val="nil"/>
              <w:left w:val="nil"/>
              <w:bottom w:val="single" w:sz="4" w:space="0" w:color="auto"/>
              <w:right w:val="nil"/>
            </w:tcBorders>
            <w:vAlign w:val="center"/>
          </w:tcPr>
          <w:p w14:paraId="76E63D26" w14:textId="77777777" w:rsidR="00F30C49" w:rsidRPr="00681589" w:rsidRDefault="00F30C49" w:rsidP="00E40C2F">
            <w:pPr>
              <w:jc w:val="right"/>
              <w:rPr>
                <w:rFonts w:ascii="Century Gothic" w:hAnsi="Century Gothic"/>
                <w:sz w:val="20"/>
                <w:szCs w:val="20"/>
              </w:rPr>
            </w:pPr>
            <w:r w:rsidRPr="00681589">
              <w:rPr>
                <w:rFonts w:ascii="Century Gothic" w:hAnsi="Century Gothic"/>
                <w:sz w:val="20"/>
                <w:szCs w:val="20"/>
              </w:rPr>
              <w:t>31.82</w:t>
            </w:r>
          </w:p>
        </w:tc>
      </w:tr>
    </w:tbl>
    <w:p w14:paraId="0B13AC28" w14:textId="38FADD0A" w:rsidR="5D007DC2" w:rsidRPr="001B5CB7" w:rsidRDefault="00F30C49">
      <w:pPr>
        <w:rPr>
          <w:rFonts w:cstheme="minorHAnsi"/>
        </w:rPr>
      </w:pPr>
      <w:r w:rsidRPr="181BB279">
        <w:t>Statistics for the highest-resolution shell are shown in parentheses.</w:t>
      </w:r>
    </w:p>
    <w:p w14:paraId="23D1BDFE" w14:textId="0A254C56" w:rsidR="181BB279" w:rsidRDefault="181BB279" w:rsidP="181BB279">
      <w:pPr>
        <w:spacing w:line="257" w:lineRule="auto"/>
      </w:pPr>
    </w:p>
    <w:p w14:paraId="08E77AEF" w14:textId="77777777" w:rsidR="00681589" w:rsidRDefault="00681589">
      <w:pPr>
        <w:rPr>
          <w:b/>
          <w:bCs/>
        </w:rPr>
      </w:pPr>
      <w:r>
        <w:rPr>
          <w:b/>
          <w:bCs/>
        </w:rPr>
        <w:br w:type="page"/>
      </w:r>
    </w:p>
    <w:p w14:paraId="48CE1F8B" w14:textId="5397FD91" w:rsidR="000D190B" w:rsidRPr="00B72E69" w:rsidRDefault="000D190B" w:rsidP="001B5CB7">
      <w:pPr>
        <w:spacing w:line="257" w:lineRule="auto"/>
        <w:rPr>
          <w:b/>
          <w:bCs/>
        </w:rPr>
      </w:pPr>
      <w:r w:rsidRPr="00B72E69">
        <w:rPr>
          <w:b/>
          <w:bCs/>
        </w:rPr>
        <w:lastRenderedPageBreak/>
        <w:t>FIGURES</w:t>
      </w:r>
    </w:p>
    <w:p w14:paraId="0428A816" w14:textId="77777777" w:rsidR="001B5CB7" w:rsidRPr="001B5CB7" w:rsidRDefault="001B5CB7" w:rsidP="001B5CB7">
      <w:pPr>
        <w:spacing w:line="257" w:lineRule="auto"/>
        <w:rPr>
          <w:rFonts w:ascii="Calibri" w:eastAsia="Calibri" w:hAnsi="Calibri" w:cs="Calibri"/>
          <w:color w:val="FFFFFF" w:themeColor="background1"/>
          <w:sz w:val="22"/>
          <w:szCs w:val="22"/>
        </w:rPr>
      </w:pPr>
    </w:p>
    <w:p w14:paraId="37242DAC" w14:textId="77777777" w:rsidR="000D190B" w:rsidRDefault="000D190B"/>
    <w:p w14:paraId="292B7174" w14:textId="6274F47E" w:rsidR="00E4228B" w:rsidRDefault="001B5CB7">
      <w:r w:rsidRPr="001B5CB7">
        <w:rPr>
          <w:noProof/>
        </w:rPr>
        <w:drawing>
          <wp:inline distT="0" distB="0" distL="0" distR="0" wp14:anchorId="0AAA59E9" wp14:editId="38DDA3C7">
            <wp:extent cx="5943600" cy="22707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2270760"/>
                    </a:xfrm>
                    <a:prstGeom prst="rect">
                      <a:avLst/>
                    </a:prstGeom>
                  </pic:spPr>
                </pic:pic>
              </a:graphicData>
            </a:graphic>
          </wp:inline>
        </w:drawing>
      </w:r>
    </w:p>
    <w:p w14:paraId="2FE04C64" w14:textId="77777777" w:rsidR="001B5CB7" w:rsidRPr="001B5CB7" w:rsidRDefault="001B5CB7" w:rsidP="001B5CB7">
      <w:pPr>
        <w:jc w:val="both"/>
        <w:rPr>
          <w:lang w:val="en-GB"/>
        </w:rPr>
      </w:pPr>
      <w:r w:rsidRPr="001B5CB7">
        <w:rPr>
          <w:b/>
          <w:bCs/>
        </w:rPr>
        <w:t xml:space="preserve">Figure S1. Validation of a screening assay for the SARS-CoV-2 N protein. </w:t>
      </w:r>
      <w:r w:rsidRPr="001B5CB7">
        <w:t xml:space="preserve">A) FP assays showing that the binding affinity of the RNA1 probe for the N protein is not affected by 2% DMSO and 0.01% triton X-100, two additives absent in the binding buffer (50 mM Sodium Phosphate, 0.1 M NaCl, pH7.6) but present in the buffer used in the HTS trials. B) Scatter plot showing the </w:t>
      </w:r>
      <w:proofErr w:type="spellStart"/>
      <w:r w:rsidRPr="001B5CB7">
        <w:t>mP</w:t>
      </w:r>
      <w:proofErr w:type="spellEnd"/>
      <w:r w:rsidRPr="001B5CB7">
        <w:t xml:space="preserve"> values for positive and negative controls obtained for each HTS assay plate. The mean and standard deviation values for positive and negative controls were 220.2 ± 5.1 and 51.1 ± 3.2, respectively. </w:t>
      </w:r>
    </w:p>
    <w:p w14:paraId="0EBA1186" w14:textId="77777777" w:rsidR="00AD65D0" w:rsidRPr="00CB58EF" w:rsidRDefault="00AD65D0" w:rsidP="00AD65D0">
      <w:pPr>
        <w:spacing w:line="360" w:lineRule="auto"/>
        <w:jc w:val="both"/>
        <w:rPr>
          <w:rFonts w:ascii="Calibri" w:eastAsia="Calibri" w:hAnsi="Calibri" w:cs="Calibri"/>
          <w:color w:val="000000" w:themeColor="text1"/>
        </w:rPr>
      </w:pPr>
    </w:p>
    <w:p w14:paraId="133F0A70" w14:textId="77777777" w:rsidR="00AD65D0" w:rsidRPr="00CB58EF" w:rsidRDefault="00AD65D0" w:rsidP="00AD65D0">
      <w:pPr>
        <w:spacing w:line="360" w:lineRule="auto"/>
        <w:jc w:val="both"/>
        <w:rPr>
          <w:rFonts w:ascii="Calibri" w:eastAsia="Calibri" w:hAnsi="Calibri" w:cs="Calibri"/>
          <w:color w:val="000000" w:themeColor="text1"/>
        </w:rPr>
      </w:pPr>
    </w:p>
    <w:p w14:paraId="579808BB" w14:textId="26C4FE1B" w:rsidR="001B5CB7" w:rsidRPr="001B5CB7" w:rsidRDefault="00125E8C" w:rsidP="001B5CB7">
      <w:r>
        <w:br w:type="page"/>
      </w:r>
    </w:p>
    <w:p w14:paraId="24236718" w14:textId="3A812498" w:rsidR="001B5CB7" w:rsidRDefault="001B5CB7" w:rsidP="001B5CB7">
      <w:pPr>
        <w:spacing w:line="360" w:lineRule="auto"/>
        <w:jc w:val="center"/>
        <w:rPr>
          <w:rFonts w:ascii="Calibri" w:eastAsia="Calibri" w:hAnsi="Calibri" w:cs="Calibri"/>
          <w:b/>
        </w:rPr>
      </w:pPr>
      <w:r w:rsidRPr="001B5CB7">
        <w:rPr>
          <w:rFonts w:ascii="Calibri" w:eastAsia="Calibri" w:hAnsi="Calibri" w:cs="Calibri"/>
          <w:b/>
          <w:noProof/>
        </w:rPr>
        <w:lastRenderedPageBreak/>
        <w:drawing>
          <wp:inline distT="0" distB="0" distL="0" distR="0" wp14:anchorId="7F1EDAC8" wp14:editId="7F5EA00B">
            <wp:extent cx="4208183" cy="441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21130" cy="4433198"/>
                    </a:xfrm>
                    <a:prstGeom prst="rect">
                      <a:avLst/>
                    </a:prstGeom>
                  </pic:spPr>
                </pic:pic>
              </a:graphicData>
            </a:graphic>
          </wp:inline>
        </w:drawing>
      </w:r>
    </w:p>
    <w:p w14:paraId="70FA3408" w14:textId="1697E6DC" w:rsidR="00AD65D0" w:rsidRPr="00AD65D0" w:rsidRDefault="00AD65D0" w:rsidP="00AD65D0">
      <w:pPr>
        <w:jc w:val="both"/>
        <w:rPr>
          <w:rFonts w:ascii="Calibri" w:eastAsia="Calibri" w:hAnsi="Calibri" w:cs="Calibri"/>
        </w:rPr>
      </w:pPr>
      <w:r w:rsidRPr="00AD65D0">
        <w:rPr>
          <w:rFonts w:ascii="Calibri" w:eastAsia="Calibri" w:hAnsi="Calibri" w:cs="Calibri"/>
          <w:b/>
          <w:bCs/>
        </w:rPr>
        <w:t xml:space="preserve">Figure S2. </w:t>
      </w:r>
      <w:r w:rsidRPr="009A0066">
        <w:rPr>
          <w:rFonts w:ascii="Calibri" w:eastAsia="Calibri" w:hAnsi="Calibri" w:cs="Calibri"/>
          <w:b/>
          <w:bCs/>
        </w:rPr>
        <w:t xml:space="preserve">The binding affinity of RNA1 to the N protein is reduced in the presence of CI, PG and CA and the phenolic acids CI and CA are not protein aggregators. </w:t>
      </w:r>
      <w:r w:rsidRPr="00AD65D0">
        <w:rPr>
          <w:rFonts w:ascii="Calibri" w:eastAsia="Calibri" w:hAnsi="Calibri" w:cs="Calibri"/>
        </w:rPr>
        <w:t xml:space="preserve">A) FP assay showing that when the N </w:t>
      </w:r>
      <w:proofErr w:type="gramStart"/>
      <w:r w:rsidRPr="00AD65D0">
        <w:rPr>
          <w:rFonts w:ascii="Calibri" w:eastAsia="Calibri" w:hAnsi="Calibri" w:cs="Calibri"/>
        </w:rPr>
        <w:t>protein  in</w:t>
      </w:r>
      <w:proofErr w:type="gramEnd"/>
      <w:r w:rsidRPr="00AD65D0">
        <w:rPr>
          <w:rFonts w:ascii="Calibri" w:eastAsia="Calibri" w:hAnsi="Calibri" w:cs="Calibri"/>
        </w:rPr>
        <w:t xml:space="preserve"> the presence of CI, CA or PNG, is titrated against RNA1, its binding affinity for RNA1 is reduced, as indicated by the corresponding KD values. Error bars represent standard deviation of the means of three independent experiments. B) DLS measurements of N protein samples incubated with two-fold molar excess of each compound (CI, CA or PN at 20 µM final concentration), showing that the phenolic acids CI and CA do not significantly change the Rh or the oligomeric state of the N protein. PN, on the other hand, appears to cause N protein aggregation, as indicated by the variation in the Rh values obtained. Plotted values are the means of three independent measurements with error bars denoting standard deviations.</w:t>
      </w:r>
    </w:p>
    <w:p w14:paraId="49AB1529" w14:textId="77777777" w:rsidR="00AD65D0" w:rsidRDefault="00AD65D0" w:rsidP="00AD65D0">
      <w:pPr>
        <w:spacing w:line="360" w:lineRule="auto"/>
        <w:jc w:val="both"/>
        <w:rPr>
          <w:rFonts w:ascii="Calibri" w:eastAsia="Calibri" w:hAnsi="Calibri" w:cs="Calibri"/>
          <w:b/>
        </w:rPr>
      </w:pPr>
    </w:p>
    <w:p w14:paraId="5A1747CD" w14:textId="0D37BC29" w:rsidR="001B5CB7" w:rsidRDefault="001B5CB7" w:rsidP="001B5CB7">
      <w:r>
        <w:br w:type="page"/>
      </w:r>
    </w:p>
    <w:p w14:paraId="403809FB" w14:textId="24FB5C79" w:rsidR="00125E8C" w:rsidRDefault="00125E8C" w:rsidP="00681589">
      <w:pPr>
        <w:jc w:val="center"/>
      </w:pPr>
      <w:r w:rsidRPr="00125E8C">
        <w:rPr>
          <w:noProof/>
        </w:rPr>
        <w:lastRenderedPageBreak/>
        <w:drawing>
          <wp:inline distT="0" distB="0" distL="0" distR="0" wp14:anchorId="5F45456A" wp14:editId="7F84EB04">
            <wp:extent cx="5384800" cy="2743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84800" cy="2743200"/>
                    </a:xfrm>
                    <a:prstGeom prst="rect">
                      <a:avLst/>
                    </a:prstGeom>
                  </pic:spPr>
                </pic:pic>
              </a:graphicData>
            </a:graphic>
          </wp:inline>
        </w:drawing>
      </w:r>
    </w:p>
    <w:p w14:paraId="4DDA3EF9" w14:textId="77777777" w:rsidR="00AD65D0" w:rsidRPr="00AD65D0" w:rsidRDefault="00AD65D0" w:rsidP="00AD65D0">
      <w:pPr>
        <w:jc w:val="both"/>
        <w:rPr>
          <w:rFonts w:ascii="Calibri" w:eastAsia="Calibri" w:hAnsi="Calibri" w:cs="Calibri"/>
          <w:bCs/>
        </w:rPr>
      </w:pPr>
      <w:r>
        <w:rPr>
          <w:rFonts w:ascii="Calibri" w:eastAsia="Calibri" w:hAnsi="Calibri" w:cs="Calibri"/>
          <w:b/>
        </w:rPr>
        <w:t xml:space="preserve">Figure S3. </w:t>
      </w:r>
      <w:r w:rsidRPr="009A0066">
        <w:rPr>
          <w:rFonts w:ascii="Calibri" w:eastAsia="Calibri" w:hAnsi="Calibri" w:cs="Calibri"/>
          <w:b/>
        </w:rPr>
        <w:t>Cell viability assays in the presence of CA</w:t>
      </w:r>
      <w:r w:rsidRPr="00AD65D0">
        <w:rPr>
          <w:rFonts w:ascii="Calibri" w:eastAsia="Calibri" w:hAnsi="Calibri" w:cs="Calibri"/>
          <w:b/>
        </w:rPr>
        <w:t xml:space="preserve">. </w:t>
      </w:r>
      <w:r w:rsidRPr="00AD65D0">
        <w:rPr>
          <w:rFonts w:ascii="Calibri" w:eastAsia="Calibri" w:hAnsi="Calibri" w:cs="Calibri"/>
          <w:bCs/>
        </w:rPr>
        <w:t xml:space="preserve">Calu-3 and Vero CCL81 cells were treated with CA at 25 µM or 100 µM for 48 h. Cell viability was evaluated using the MTT assay. DMSO at 0.2% final concentration was used as vehicle control. Results are expressed as individual values (n=16) and error bars represent mean +/- standard deviation.  </w:t>
      </w:r>
    </w:p>
    <w:p w14:paraId="48AEACB3" w14:textId="77777777" w:rsidR="00AD65D0" w:rsidRDefault="00AD65D0" w:rsidP="00AD65D0">
      <w:pPr>
        <w:spacing w:line="360" w:lineRule="auto"/>
        <w:jc w:val="both"/>
        <w:rPr>
          <w:rFonts w:ascii="Calibri" w:eastAsia="Calibri" w:hAnsi="Calibri" w:cs="Calibri"/>
        </w:rPr>
      </w:pPr>
    </w:p>
    <w:p w14:paraId="38C08C7C" w14:textId="77777777" w:rsidR="00AD65D0" w:rsidRPr="001B5CB7" w:rsidRDefault="00AD65D0" w:rsidP="001B5CB7">
      <w:pPr>
        <w:jc w:val="both"/>
        <w:rPr>
          <w:rFonts w:ascii="Calibri" w:eastAsia="Calibri" w:hAnsi="Calibri" w:cs="Calibri"/>
          <w:b/>
        </w:rPr>
      </w:pPr>
    </w:p>
    <w:p w14:paraId="5235A27E" w14:textId="0E9A2131" w:rsidR="5D007DC2" w:rsidRDefault="5D007DC2" w:rsidP="5D007DC2">
      <w:pPr>
        <w:jc w:val="both"/>
        <w:rPr>
          <w:i/>
          <w:iCs/>
        </w:rPr>
      </w:pPr>
    </w:p>
    <w:p w14:paraId="0750727B" w14:textId="27FE6F02" w:rsidR="00D548BC" w:rsidRDefault="001B5CB7" w:rsidP="00681589">
      <w:r>
        <w:br w:type="page"/>
      </w:r>
      <w:r w:rsidR="00681589" w:rsidRPr="00681589">
        <w:lastRenderedPageBreak/>
        <w:drawing>
          <wp:inline distT="0" distB="0" distL="0" distR="0" wp14:anchorId="54F9AE0A" wp14:editId="56C67CE4">
            <wp:extent cx="5943600" cy="19475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947545"/>
                    </a:xfrm>
                    <a:prstGeom prst="rect">
                      <a:avLst/>
                    </a:prstGeom>
                  </pic:spPr>
                </pic:pic>
              </a:graphicData>
            </a:graphic>
          </wp:inline>
        </w:drawing>
      </w:r>
    </w:p>
    <w:p w14:paraId="66F56B2D" w14:textId="77777777" w:rsidR="00681589" w:rsidRDefault="00681589" w:rsidP="00681589"/>
    <w:p w14:paraId="50697211" w14:textId="1324C711" w:rsidR="00681589" w:rsidRDefault="00681589" w:rsidP="00681589">
      <w:r w:rsidRPr="00681589">
        <w:drawing>
          <wp:inline distT="0" distB="0" distL="0" distR="0" wp14:anchorId="04F59DD6" wp14:editId="5DB4D93B">
            <wp:extent cx="5524500" cy="4737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24500" cy="4737100"/>
                    </a:xfrm>
                    <a:prstGeom prst="rect">
                      <a:avLst/>
                    </a:prstGeom>
                  </pic:spPr>
                </pic:pic>
              </a:graphicData>
            </a:graphic>
          </wp:inline>
        </w:drawing>
      </w:r>
    </w:p>
    <w:p w14:paraId="621720B1" w14:textId="77777777" w:rsidR="00681589" w:rsidRDefault="00681589" w:rsidP="00681589">
      <w:pPr>
        <w:rPr>
          <w:b/>
          <w:bCs/>
        </w:rPr>
      </w:pPr>
    </w:p>
    <w:p w14:paraId="55AFA42D" w14:textId="14A2E9F5" w:rsidR="00D548BC" w:rsidRPr="00681589" w:rsidRDefault="00A8462F" w:rsidP="00681589">
      <w:pPr>
        <w:jc w:val="both"/>
        <w:rPr>
          <w:lang w:val="en-GB"/>
        </w:rPr>
      </w:pPr>
      <w:r w:rsidRPr="00A8462F">
        <w:rPr>
          <w:b/>
          <w:bCs/>
          <w:lang w:val="en-GB"/>
        </w:rPr>
        <w:t>Figure S4. Sequence and structural alignment of SARS-CoV-2, SARS-</w:t>
      </w:r>
      <w:proofErr w:type="spellStart"/>
      <w:r w:rsidRPr="00A8462F">
        <w:rPr>
          <w:b/>
          <w:bCs/>
          <w:lang w:val="en-GB"/>
        </w:rPr>
        <w:t>CoV</w:t>
      </w:r>
      <w:proofErr w:type="spellEnd"/>
      <w:r w:rsidRPr="00A8462F">
        <w:rPr>
          <w:b/>
          <w:bCs/>
          <w:lang w:val="en-GB"/>
        </w:rPr>
        <w:t xml:space="preserve"> and MERS N proteins CTDs show conservation of the CA-binding site among these pathogenic human coronaviruses. </w:t>
      </w:r>
      <w:r w:rsidRPr="00A8462F">
        <w:rPr>
          <w:lang w:val="en-GB"/>
        </w:rPr>
        <w:t>A) Multiple sequence alignment with CLUSTAL O (1.2.4). B) Superposition of the N protein CTDs crystal structures for SARS-CoV-2 (</w:t>
      </w:r>
      <w:r w:rsidR="00B72E69" w:rsidRPr="00CB7BA5">
        <w:rPr>
          <w:rFonts w:ascii="Calibri" w:eastAsia="Calibri" w:hAnsi="Calibri" w:cs="Calibri"/>
        </w:rPr>
        <w:t>PDB ID 7UXZ</w:t>
      </w:r>
      <w:r w:rsidR="00B72E69">
        <w:rPr>
          <w:rFonts w:ascii="Calibri" w:eastAsia="Calibri" w:hAnsi="Calibri" w:cs="Calibri"/>
        </w:rPr>
        <w:t>,</w:t>
      </w:r>
      <w:r w:rsidR="00B72E69" w:rsidRPr="00A8462F">
        <w:rPr>
          <w:lang w:val="en-GB"/>
        </w:rPr>
        <w:t xml:space="preserve"> </w:t>
      </w:r>
      <w:r w:rsidRPr="00A8462F">
        <w:rPr>
          <w:lang w:val="en-GB"/>
        </w:rPr>
        <w:t>grey), SARS-</w:t>
      </w:r>
      <w:proofErr w:type="spellStart"/>
      <w:r w:rsidRPr="00A8462F">
        <w:rPr>
          <w:lang w:val="en-GB"/>
        </w:rPr>
        <w:t>CoV</w:t>
      </w:r>
      <w:proofErr w:type="spellEnd"/>
      <w:r w:rsidRPr="00A8462F">
        <w:rPr>
          <w:lang w:val="en-GB"/>
        </w:rPr>
        <w:t xml:space="preserve"> (PDB entry 2GIB, cyan) and MERS (PDB entry 6G13, magenta). The residues involved in CA binding are shown as sticks and labelled. </w:t>
      </w:r>
    </w:p>
    <w:p w14:paraId="3877C1C2" w14:textId="77777777" w:rsidR="005E535B" w:rsidRDefault="005E535B" w:rsidP="24D52294">
      <w:pPr>
        <w:spacing w:line="360" w:lineRule="auto"/>
        <w:jc w:val="center"/>
        <w:rPr>
          <w:rFonts w:ascii="Calibri" w:eastAsia="Calibri" w:hAnsi="Calibri" w:cs="Calibri"/>
          <w:b/>
          <w:bCs/>
        </w:rPr>
      </w:pPr>
      <w:r w:rsidRPr="005E535B">
        <w:rPr>
          <w:rFonts w:ascii="Calibri" w:eastAsia="Calibri" w:hAnsi="Calibri" w:cs="Calibri"/>
          <w:b/>
          <w:bCs/>
        </w:rPr>
        <w:lastRenderedPageBreak/>
        <w:drawing>
          <wp:inline distT="0" distB="0" distL="0" distR="0" wp14:anchorId="3BF02D06" wp14:editId="07FC05B1">
            <wp:extent cx="4000500" cy="3568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00500" cy="3568700"/>
                    </a:xfrm>
                    <a:prstGeom prst="rect">
                      <a:avLst/>
                    </a:prstGeom>
                  </pic:spPr>
                </pic:pic>
              </a:graphicData>
            </a:graphic>
          </wp:inline>
        </w:drawing>
      </w:r>
    </w:p>
    <w:p w14:paraId="6E445819" w14:textId="7487CE6B" w:rsidR="005E535B" w:rsidRDefault="005E535B" w:rsidP="24D52294">
      <w:pPr>
        <w:spacing w:line="360" w:lineRule="auto"/>
        <w:jc w:val="center"/>
        <w:rPr>
          <w:rFonts w:ascii="Calibri" w:eastAsia="Calibri" w:hAnsi="Calibri" w:cs="Calibri"/>
          <w:b/>
          <w:bCs/>
        </w:rPr>
      </w:pPr>
      <w:r w:rsidRPr="005E535B">
        <w:rPr>
          <w:rFonts w:ascii="Calibri" w:eastAsia="Calibri" w:hAnsi="Calibri" w:cs="Calibri"/>
          <w:b/>
          <w:bCs/>
        </w:rPr>
        <w:drawing>
          <wp:inline distT="0" distB="0" distL="0" distR="0" wp14:anchorId="1906D230" wp14:editId="15CCAEF3">
            <wp:extent cx="5943600" cy="18192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819275"/>
                    </a:xfrm>
                    <a:prstGeom prst="rect">
                      <a:avLst/>
                    </a:prstGeom>
                  </pic:spPr>
                </pic:pic>
              </a:graphicData>
            </a:graphic>
          </wp:inline>
        </w:drawing>
      </w:r>
    </w:p>
    <w:p w14:paraId="344D0C69" w14:textId="39FAF883" w:rsidR="00494BCD" w:rsidRPr="00494BCD" w:rsidRDefault="00494BCD" w:rsidP="00494BCD">
      <w:pPr>
        <w:jc w:val="both"/>
        <w:rPr>
          <w:rFonts w:ascii="Calibri" w:eastAsia="Calibri" w:hAnsi="Calibri" w:cs="Calibri"/>
          <w:color w:val="000000" w:themeColor="text1"/>
          <w:lang w:val="en-GB"/>
        </w:rPr>
      </w:pPr>
      <w:r w:rsidRPr="53E40738">
        <w:rPr>
          <w:rFonts w:ascii="Calibri" w:eastAsia="Calibri" w:hAnsi="Calibri" w:cs="Calibri"/>
          <w:b/>
          <w:bCs/>
          <w:color w:val="000000" w:themeColor="text1"/>
          <w:lang w:val="en-GB"/>
        </w:rPr>
        <w:t xml:space="preserve">Figure S5. Initial structure-activity relationship (SAR) analysis of 16 compounds containing caffeoyl substructures assessed in our screening efforts against SARS-CoV-2 N protein suggests that both </w:t>
      </w:r>
      <w:proofErr w:type="spellStart"/>
      <w:r w:rsidRPr="53E40738">
        <w:rPr>
          <w:rFonts w:ascii="Calibri" w:eastAsia="Calibri" w:hAnsi="Calibri" w:cs="Calibri"/>
          <w:b/>
          <w:bCs/>
          <w:color w:val="000000" w:themeColor="text1"/>
          <w:lang w:val="en-GB"/>
        </w:rPr>
        <w:t>dicaffeoyl</w:t>
      </w:r>
      <w:proofErr w:type="spellEnd"/>
      <w:r w:rsidRPr="53E40738">
        <w:rPr>
          <w:rFonts w:ascii="Calibri" w:eastAsia="Calibri" w:hAnsi="Calibri" w:cs="Calibri"/>
          <w:b/>
          <w:bCs/>
          <w:color w:val="000000" w:themeColor="text1"/>
          <w:lang w:val="en-GB"/>
        </w:rPr>
        <w:t xml:space="preserve"> carbonyls and symmetric </w:t>
      </w:r>
      <w:r w:rsidR="00AD65D0">
        <w:rPr>
          <w:rFonts w:ascii="Calibri" w:eastAsia="Calibri" w:hAnsi="Calibri" w:cs="Calibri"/>
          <w:b/>
          <w:bCs/>
          <w:color w:val="000000" w:themeColor="text1"/>
          <w:lang w:val="en-GB"/>
        </w:rPr>
        <w:t>carboxylates</w:t>
      </w:r>
      <w:r w:rsidRPr="53E40738">
        <w:rPr>
          <w:rFonts w:ascii="Calibri" w:eastAsia="Calibri" w:hAnsi="Calibri" w:cs="Calibri"/>
          <w:b/>
          <w:bCs/>
          <w:color w:val="000000" w:themeColor="text1"/>
          <w:lang w:val="en-GB"/>
        </w:rPr>
        <w:t xml:space="preserve"> are key pharmacophores for the CA-N protein biding site. </w:t>
      </w:r>
      <w:r w:rsidRPr="53E40738">
        <w:rPr>
          <w:rFonts w:ascii="Calibri" w:eastAsia="Calibri" w:hAnsi="Calibri" w:cs="Calibri"/>
          <w:color w:val="000000" w:themeColor="text1"/>
          <w:lang w:val="en-GB"/>
        </w:rPr>
        <w:t>A) Sixteen compounds assessed in our screening efforts and containing caffeoyl substructures, those bearing two caffeoyl esters clearly stand out with over 50% N protein</w:t>
      </w:r>
      <w:r w:rsidR="00AD65D0">
        <w:rPr>
          <w:rFonts w:ascii="Calibri" w:eastAsia="Calibri" w:hAnsi="Calibri" w:cs="Calibri"/>
          <w:color w:val="000000" w:themeColor="text1"/>
          <w:lang w:val="en-GB"/>
        </w:rPr>
        <w:t>-</w:t>
      </w:r>
      <w:r w:rsidRPr="53E40738">
        <w:rPr>
          <w:rFonts w:ascii="Calibri" w:eastAsia="Calibri" w:hAnsi="Calibri" w:cs="Calibri"/>
          <w:color w:val="000000" w:themeColor="text1"/>
          <w:lang w:val="en-GB"/>
        </w:rPr>
        <w:t xml:space="preserve">RNA1 disruption at 20 µM. B) In CA, the most potent derivative (IC50 = 0.5 µM), the </w:t>
      </w:r>
      <w:proofErr w:type="spellStart"/>
      <w:r w:rsidRPr="53E40738">
        <w:rPr>
          <w:rFonts w:ascii="Calibri" w:eastAsia="Calibri" w:hAnsi="Calibri" w:cs="Calibri"/>
          <w:color w:val="000000" w:themeColor="text1"/>
          <w:lang w:val="en-GB"/>
        </w:rPr>
        <w:t>dicaffeoyl</w:t>
      </w:r>
      <w:proofErr w:type="spellEnd"/>
      <w:r w:rsidRPr="53E40738">
        <w:rPr>
          <w:rFonts w:ascii="Calibri" w:eastAsia="Calibri" w:hAnsi="Calibri" w:cs="Calibri"/>
          <w:color w:val="000000" w:themeColor="text1"/>
          <w:lang w:val="en-GB"/>
        </w:rPr>
        <w:t xml:space="preserve"> units are bound to tartaric acid, whose carboxylate moieties’ contribution for protein binding have been established. The other three </w:t>
      </w:r>
      <w:proofErr w:type="spellStart"/>
      <w:r w:rsidRPr="53E40738">
        <w:rPr>
          <w:rFonts w:ascii="Calibri" w:eastAsia="Calibri" w:hAnsi="Calibri" w:cs="Calibri"/>
          <w:color w:val="000000" w:themeColor="text1"/>
          <w:lang w:val="en-GB"/>
        </w:rPr>
        <w:t>dicaffeoyl</w:t>
      </w:r>
      <w:proofErr w:type="spellEnd"/>
      <w:r w:rsidRPr="53E40738">
        <w:rPr>
          <w:rFonts w:ascii="Calibri" w:eastAsia="Calibri" w:hAnsi="Calibri" w:cs="Calibri"/>
          <w:color w:val="000000" w:themeColor="text1"/>
          <w:lang w:val="en-GB"/>
        </w:rPr>
        <w:t xml:space="preserve"> derivatives are in fact isomers of </w:t>
      </w:r>
      <w:proofErr w:type="spellStart"/>
      <w:r w:rsidRPr="53E40738">
        <w:rPr>
          <w:rFonts w:ascii="Calibri" w:eastAsia="Calibri" w:hAnsi="Calibri" w:cs="Calibri"/>
          <w:color w:val="000000" w:themeColor="text1"/>
          <w:lang w:val="en-GB"/>
        </w:rPr>
        <w:t>dicaffeoylquinic</w:t>
      </w:r>
      <w:proofErr w:type="spellEnd"/>
      <w:r w:rsidRPr="53E40738">
        <w:rPr>
          <w:rFonts w:ascii="Calibri" w:eastAsia="Calibri" w:hAnsi="Calibri" w:cs="Calibri"/>
          <w:color w:val="000000" w:themeColor="text1"/>
          <w:lang w:val="en-GB"/>
        </w:rPr>
        <w:t xml:space="preserve"> acid, being 4,5-dicaffeoylquinic acid, 3,5-dicaffeoylquinic acid (</w:t>
      </w:r>
      <w:proofErr w:type="spellStart"/>
      <w:r w:rsidRPr="53E40738">
        <w:rPr>
          <w:rFonts w:ascii="Calibri" w:eastAsia="Calibri" w:hAnsi="Calibri" w:cs="Calibri"/>
          <w:color w:val="000000" w:themeColor="text1"/>
          <w:lang w:val="en-GB"/>
        </w:rPr>
        <w:t>isochlorogenic</w:t>
      </w:r>
      <w:proofErr w:type="spellEnd"/>
      <w:r w:rsidRPr="53E40738">
        <w:rPr>
          <w:rFonts w:ascii="Calibri" w:eastAsia="Calibri" w:hAnsi="Calibri" w:cs="Calibri"/>
          <w:color w:val="000000" w:themeColor="text1"/>
          <w:lang w:val="en-GB"/>
        </w:rPr>
        <w:t xml:space="preserve"> acid A) and 1,5-dicaffeoylquinic acid (</w:t>
      </w:r>
      <w:proofErr w:type="spellStart"/>
      <w:r w:rsidRPr="53E40738">
        <w:rPr>
          <w:rFonts w:ascii="Calibri" w:eastAsia="Calibri" w:hAnsi="Calibri" w:cs="Calibri"/>
          <w:color w:val="000000" w:themeColor="text1"/>
          <w:lang w:val="en-GB"/>
        </w:rPr>
        <w:t>cynarin</w:t>
      </w:r>
      <w:proofErr w:type="spellEnd"/>
      <w:r w:rsidRPr="53E40738">
        <w:rPr>
          <w:rFonts w:ascii="Calibri" w:eastAsia="Calibri" w:hAnsi="Calibri" w:cs="Calibri"/>
          <w:color w:val="000000" w:themeColor="text1"/>
          <w:lang w:val="en-GB"/>
        </w:rPr>
        <w:t xml:space="preserve">). </w:t>
      </w:r>
      <w:proofErr w:type="gramStart"/>
      <w:r w:rsidRPr="53E40738">
        <w:rPr>
          <w:rFonts w:ascii="Calibri" w:eastAsia="Calibri" w:hAnsi="Calibri" w:cs="Calibri"/>
          <w:color w:val="000000" w:themeColor="text1"/>
          <w:lang w:val="en-GB"/>
        </w:rPr>
        <w:t>Assuming that</w:t>
      </w:r>
      <w:proofErr w:type="gramEnd"/>
      <w:r w:rsidRPr="53E40738">
        <w:rPr>
          <w:rFonts w:ascii="Calibri" w:eastAsia="Calibri" w:hAnsi="Calibri" w:cs="Calibri"/>
          <w:color w:val="000000" w:themeColor="text1"/>
          <w:lang w:val="en-GB"/>
        </w:rPr>
        <w:t xml:space="preserve"> they bind to the same site as CA, one can see that the caffeoyl esters could occupy similar positions, especially for 4,5-dicaffeoylquinic acid and </w:t>
      </w:r>
      <w:proofErr w:type="spellStart"/>
      <w:r w:rsidRPr="53E40738">
        <w:rPr>
          <w:rFonts w:ascii="Calibri" w:eastAsia="Calibri" w:hAnsi="Calibri" w:cs="Calibri"/>
          <w:color w:val="000000" w:themeColor="text1"/>
          <w:lang w:val="en-GB"/>
        </w:rPr>
        <w:t>isochlorogenic</w:t>
      </w:r>
      <w:proofErr w:type="spellEnd"/>
      <w:r w:rsidRPr="53E40738">
        <w:rPr>
          <w:rFonts w:ascii="Calibri" w:eastAsia="Calibri" w:hAnsi="Calibri" w:cs="Calibri"/>
          <w:color w:val="000000" w:themeColor="text1"/>
          <w:lang w:val="en-GB"/>
        </w:rPr>
        <w:t xml:space="preserve"> acid A. Their single carboxylate moiety at C1 would be further way in comparison to CA, but still able to engage in ionic interactions with positively charged residues, but clearly, this modification causes a ~10-fold loss in IC50 values. Looking at </w:t>
      </w:r>
      <w:proofErr w:type="spellStart"/>
      <w:r w:rsidRPr="53E40738">
        <w:rPr>
          <w:rFonts w:ascii="Calibri" w:eastAsia="Calibri" w:hAnsi="Calibri" w:cs="Calibri"/>
          <w:color w:val="000000" w:themeColor="text1"/>
          <w:lang w:val="en-GB"/>
        </w:rPr>
        <w:lastRenderedPageBreak/>
        <w:t>cynarin</w:t>
      </w:r>
      <w:proofErr w:type="spellEnd"/>
      <w:r w:rsidRPr="53E40738">
        <w:rPr>
          <w:rFonts w:ascii="Calibri" w:eastAsia="Calibri" w:hAnsi="Calibri" w:cs="Calibri"/>
          <w:color w:val="000000" w:themeColor="text1"/>
          <w:lang w:val="en-GB"/>
        </w:rPr>
        <w:t xml:space="preserve"> or 1,5-dicaffeoylquinic acid, one could propose that </w:t>
      </w:r>
      <w:proofErr w:type="gramStart"/>
      <w:r w:rsidRPr="53E40738">
        <w:rPr>
          <w:rFonts w:ascii="Calibri" w:eastAsia="Calibri" w:hAnsi="Calibri" w:cs="Calibri"/>
          <w:color w:val="000000" w:themeColor="text1"/>
          <w:lang w:val="en-GB"/>
        </w:rPr>
        <w:t>in order to</w:t>
      </w:r>
      <w:proofErr w:type="gramEnd"/>
      <w:r w:rsidRPr="53E40738">
        <w:rPr>
          <w:rFonts w:ascii="Calibri" w:eastAsia="Calibri" w:hAnsi="Calibri" w:cs="Calibri"/>
          <w:color w:val="000000" w:themeColor="text1"/>
          <w:lang w:val="en-GB"/>
        </w:rPr>
        <w:t xml:space="preserve"> accommodate the caffeoyl esters similarly to its congeners and CA, the carboxylate moiety would be moved from the arginine-rich region, yielding a much weaker binding affinity. Or one could suggest that </w:t>
      </w:r>
      <w:proofErr w:type="gramStart"/>
      <w:r w:rsidRPr="53E40738">
        <w:rPr>
          <w:rFonts w:ascii="Calibri" w:eastAsia="Calibri" w:hAnsi="Calibri" w:cs="Calibri"/>
          <w:color w:val="000000" w:themeColor="text1"/>
          <w:lang w:val="en-GB"/>
        </w:rPr>
        <w:t>in order to</w:t>
      </w:r>
      <w:proofErr w:type="gramEnd"/>
      <w:r w:rsidRPr="53E40738">
        <w:rPr>
          <w:rFonts w:ascii="Calibri" w:eastAsia="Calibri" w:hAnsi="Calibri" w:cs="Calibri"/>
          <w:color w:val="000000" w:themeColor="text1"/>
          <w:lang w:val="en-GB"/>
        </w:rPr>
        <w:t xml:space="preserve"> achieve ionic interactions between the carboxylate and arginine residues, the caffeoyl ester moieties would lose contact with the protein, likewise yielding low binding affinity. This observation can be extended to the other caffeoyl derivatives, such as </w:t>
      </w:r>
      <w:proofErr w:type="spellStart"/>
      <w:r w:rsidRPr="53E40738">
        <w:rPr>
          <w:rFonts w:ascii="Calibri" w:eastAsia="Calibri" w:hAnsi="Calibri" w:cs="Calibri"/>
          <w:color w:val="000000" w:themeColor="text1"/>
          <w:lang w:val="en-GB"/>
        </w:rPr>
        <w:t>rosmarinic</w:t>
      </w:r>
      <w:proofErr w:type="spellEnd"/>
      <w:r w:rsidRPr="53E40738">
        <w:rPr>
          <w:rFonts w:ascii="Calibri" w:eastAsia="Calibri" w:hAnsi="Calibri" w:cs="Calibri"/>
          <w:color w:val="000000" w:themeColor="text1"/>
          <w:lang w:val="en-GB"/>
        </w:rPr>
        <w:t xml:space="preserve"> acid and </w:t>
      </w:r>
      <w:proofErr w:type="spellStart"/>
      <w:r w:rsidRPr="53E40738">
        <w:rPr>
          <w:rFonts w:ascii="Calibri" w:eastAsia="Calibri" w:hAnsi="Calibri" w:cs="Calibri"/>
          <w:color w:val="000000" w:themeColor="text1"/>
          <w:lang w:val="en-GB"/>
        </w:rPr>
        <w:t>verbascoside</w:t>
      </w:r>
      <w:proofErr w:type="spellEnd"/>
      <w:r w:rsidRPr="53E40738">
        <w:rPr>
          <w:rFonts w:ascii="Calibri" w:eastAsia="Calibri" w:hAnsi="Calibri" w:cs="Calibri"/>
          <w:color w:val="000000" w:themeColor="text1"/>
          <w:lang w:val="en-GB"/>
        </w:rPr>
        <w:t xml:space="preserve"> which showed low N protein/RNA1 disruption, and which only contain one or two of the 4 key elements found in CA. Indeed, the two carboxylate and two caffeoyl ester moieties are important for binding to the N protein and to induce conformational changes that affect its RNA binding function.</w:t>
      </w:r>
    </w:p>
    <w:p w14:paraId="66D5D9A4" w14:textId="77777777" w:rsidR="00AD65D0" w:rsidRPr="00AD65D0" w:rsidRDefault="00AD65D0" w:rsidP="001B5CB7">
      <w:pPr>
        <w:jc w:val="both"/>
      </w:pPr>
    </w:p>
    <w:sectPr w:rsidR="00AD65D0" w:rsidRPr="00AD65D0" w:rsidSect="00B72E69">
      <w:type w:val="continuous"/>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993"/>
    <w:rsid w:val="0009271E"/>
    <w:rsid w:val="000A4FC2"/>
    <w:rsid w:val="000D190B"/>
    <w:rsid w:val="000E53BE"/>
    <w:rsid w:val="000F2165"/>
    <w:rsid w:val="00121DBA"/>
    <w:rsid w:val="00125E8C"/>
    <w:rsid w:val="001438BD"/>
    <w:rsid w:val="001B5CB7"/>
    <w:rsid w:val="00254B59"/>
    <w:rsid w:val="002658F0"/>
    <w:rsid w:val="00267024"/>
    <w:rsid w:val="002D3ED6"/>
    <w:rsid w:val="0032378E"/>
    <w:rsid w:val="00323B3A"/>
    <w:rsid w:val="003926D8"/>
    <w:rsid w:val="003C389A"/>
    <w:rsid w:val="00413929"/>
    <w:rsid w:val="00425D84"/>
    <w:rsid w:val="004351E5"/>
    <w:rsid w:val="00494BCD"/>
    <w:rsid w:val="005200B8"/>
    <w:rsid w:val="00594E8B"/>
    <w:rsid w:val="005A2787"/>
    <w:rsid w:val="005E535B"/>
    <w:rsid w:val="00622B50"/>
    <w:rsid w:val="00642F9F"/>
    <w:rsid w:val="0067568C"/>
    <w:rsid w:val="00681589"/>
    <w:rsid w:val="006B0317"/>
    <w:rsid w:val="00717655"/>
    <w:rsid w:val="00757C16"/>
    <w:rsid w:val="007F018F"/>
    <w:rsid w:val="00803BA7"/>
    <w:rsid w:val="00817847"/>
    <w:rsid w:val="00824BFB"/>
    <w:rsid w:val="0087222D"/>
    <w:rsid w:val="0089131B"/>
    <w:rsid w:val="008F13F9"/>
    <w:rsid w:val="008F28E9"/>
    <w:rsid w:val="009C2D02"/>
    <w:rsid w:val="00A152F5"/>
    <w:rsid w:val="00A4171B"/>
    <w:rsid w:val="00A51F10"/>
    <w:rsid w:val="00A8462F"/>
    <w:rsid w:val="00A9103F"/>
    <w:rsid w:val="00AB678C"/>
    <w:rsid w:val="00AD04B8"/>
    <w:rsid w:val="00AD65D0"/>
    <w:rsid w:val="00B72E69"/>
    <w:rsid w:val="00BA74F7"/>
    <w:rsid w:val="00BD5AEA"/>
    <w:rsid w:val="00BF44CB"/>
    <w:rsid w:val="00CB188F"/>
    <w:rsid w:val="00CC3A98"/>
    <w:rsid w:val="00D05AB7"/>
    <w:rsid w:val="00D548BC"/>
    <w:rsid w:val="00DA6F8E"/>
    <w:rsid w:val="00E24F72"/>
    <w:rsid w:val="00E4228B"/>
    <w:rsid w:val="00E5508C"/>
    <w:rsid w:val="00E81176"/>
    <w:rsid w:val="00E86F9E"/>
    <w:rsid w:val="00EE6AB0"/>
    <w:rsid w:val="00F07993"/>
    <w:rsid w:val="00F30C49"/>
    <w:rsid w:val="00FC2E68"/>
    <w:rsid w:val="00FF21A3"/>
    <w:rsid w:val="013CE4F4"/>
    <w:rsid w:val="041A09BF"/>
    <w:rsid w:val="0590B39F"/>
    <w:rsid w:val="0B4573A8"/>
    <w:rsid w:val="0D1E57B8"/>
    <w:rsid w:val="14CC7941"/>
    <w:rsid w:val="153D786A"/>
    <w:rsid w:val="16C539FE"/>
    <w:rsid w:val="17184496"/>
    <w:rsid w:val="181BB279"/>
    <w:rsid w:val="199FEA64"/>
    <w:rsid w:val="1DDC88F0"/>
    <w:rsid w:val="1ED04BE3"/>
    <w:rsid w:val="2390E9DC"/>
    <w:rsid w:val="24D52294"/>
    <w:rsid w:val="26DB5DC8"/>
    <w:rsid w:val="281A3DCD"/>
    <w:rsid w:val="2833662A"/>
    <w:rsid w:val="2BD5D820"/>
    <w:rsid w:val="2CF59C76"/>
    <w:rsid w:val="3015769C"/>
    <w:rsid w:val="30A94943"/>
    <w:rsid w:val="31BC9026"/>
    <w:rsid w:val="31E82948"/>
    <w:rsid w:val="32F8AB05"/>
    <w:rsid w:val="334BB59D"/>
    <w:rsid w:val="34CFBF62"/>
    <w:rsid w:val="369C7EBC"/>
    <w:rsid w:val="3C4AE484"/>
    <w:rsid w:val="3E984E08"/>
    <w:rsid w:val="3EEE1DC6"/>
    <w:rsid w:val="4122C7CC"/>
    <w:rsid w:val="4222F962"/>
    <w:rsid w:val="426C551F"/>
    <w:rsid w:val="45D89E6D"/>
    <w:rsid w:val="46E3975B"/>
    <w:rsid w:val="4A55147C"/>
    <w:rsid w:val="4ABBF078"/>
    <w:rsid w:val="4F08F4FA"/>
    <w:rsid w:val="509D4CCB"/>
    <w:rsid w:val="527B46FC"/>
    <w:rsid w:val="53E40738"/>
    <w:rsid w:val="59520A4D"/>
    <w:rsid w:val="5D007DC2"/>
    <w:rsid w:val="5D39A603"/>
    <w:rsid w:val="5D516C9F"/>
    <w:rsid w:val="61714C61"/>
    <w:rsid w:val="66617C4E"/>
    <w:rsid w:val="68681DE3"/>
    <w:rsid w:val="6FD2776D"/>
    <w:rsid w:val="7163CF3D"/>
    <w:rsid w:val="727EC98B"/>
    <w:rsid w:val="735AC5E2"/>
    <w:rsid w:val="77AD8CDB"/>
    <w:rsid w:val="78B23096"/>
    <w:rsid w:val="7D3808CD"/>
    <w:rsid w:val="7E50F9B6"/>
    <w:rsid w:val="7E5DE287"/>
    <w:rsid w:val="7FB6AC5E"/>
    <w:rsid w:val="7FF41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DD234"/>
  <w15:chartTrackingRefBased/>
  <w15:docId w15:val="{908F997C-9FB0-43C2-8FB1-B8F66F36A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5D007DC2"/>
  </w:style>
  <w:style w:type="paragraph" w:styleId="Heading1">
    <w:name w:val="heading 1"/>
    <w:basedOn w:val="Normal"/>
    <w:next w:val="Normal"/>
    <w:link w:val="Heading1Char"/>
    <w:uiPriority w:val="9"/>
    <w:qFormat/>
    <w:rsid w:val="5D007DC2"/>
    <w:pPr>
      <w:keepNext/>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5D007DC2"/>
    <w:pPr>
      <w:keepNext/>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5D007DC2"/>
    <w:pPr>
      <w:keepNext/>
      <w:spacing w:before="40"/>
      <w:outlineLvl w:val="2"/>
    </w:pPr>
    <w:rPr>
      <w:rFonts w:asciiTheme="majorHAnsi" w:eastAsiaTheme="majorEastAsia" w:hAnsiTheme="majorHAnsi" w:cstheme="majorBidi"/>
      <w:color w:val="1F3763"/>
    </w:rPr>
  </w:style>
  <w:style w:type="paragraph" w:styleId="Heading4">
    <w:name w:val="heading 4"/>
    <w:basedOn w:val="Normal"/>
    <w:next w:val="Normal"/>
    <w:link w:val="Heading4Char"/>
    <w:uiPriority w:val="9"/>
    <w:unhideWhenUsed/>
    <w:qFormat/>
    <w:rsid w:val="5D007DC2"/>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5D007DC2"/>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5D007DC2"/>
    <w:pPr>
      <w:keepNext/>
      <w:spacing w:before="4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5D007DC2"/>
    <w:pPr>
      <w:keepNext/>
      <w:spacing w:before="4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5D007DC2"/>
    <w:pPr>
      <w:keepNext/>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5D007DC2"/>
    <w:pPr>
      <w:keepNext/>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079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5D007DC2"/>
    <w:rPr>
      <w:rFonts w:asciiTheme="majorHAnsi" w:eastAsiaTheme="majorEastAsia" w:hAnsiTheme="majorHAnsi" w:cstheme="majorBidi"/>
      <w:noProof w:val="0"/>
      <w:color w:val="2F5496" w:themeColor="accent1" w:themeShade="BF"/>
      <w:sz w:val="26"/>
      <w:szCs w:val="26"/>
      <w:lang w:val="en-US"/>
    </w:rPr>
  </w:style>
  <w:style w:type="table" w:styleId="PlainTable2">
    <w:name w:val="Plain Table 2"/>
    <w:basedOn w:val="TableNormal"/>
    <w:uiPriority w:val="42"/>
    <w:rsid w:val="00AB678C"/>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itle">
    <w:name w:val="Title"/>
    <w:basedOn w:val="Normal"/>
    <w:next w:val="Normal"/>
    <w:link w:val="TitleChar"/>
    <w:uiPriority w:val="10"/>
    <w:qFormat/>
    <w:rsid w:val="5D007DC2"/>
    <w:pPr>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5D007DC2"/>
    <w:rPr>
      <w:rFonts w:eastAsiaTheme="minorEastAsia"/>
      <w:color w:val="5A5A5A"/>
    </w:rPr>
  </w:style>
  <w:style w:type="paragraph" w:styleId="Quote">
    <w:name w:val="Quote"/>
    <w:basedOn w:val="Normal"/>
    <w:next w:val="Normal"/>
    <w:link w:val="QuoteChar"/>
    <w:uiPriority w:val="29"/>
    <w:qFormat/>
    <w:rsid w:val="5D007DC2"/>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5D007DC2"/>
    <w:pPr>
      <w:spacing w:before="360" w:after="360"/>
      <w:ind w:left="864" w:right="864"/>
      <w:jc w:val="center"/>
    </w:pPr>
    <w:rPr>
      <w:i/>
      <w:iCs/>
      <w:color w:val="4472C4" w:themeColor="accent1"/>
    </w:rPr>
  </w:style>
  <w:style w:type="paragraph" w:styleId="ListParagraph">
    <w:name w:val="List Paragraph"/>
    <w:basedOn w:val="Normal"/>
    <w:uiPriority w:val="34"/>
    <w:qFormat/>
    <w:rsid w:val="5D007DC2"/>
    <w:pPr>
      <w:ind w:left="720"/>
      <w:contextualSpacing/>
    </w:pPr>
  </w:style>
  <w:style w:type="character" w:customStyle="1" w:styleId="Heading1Char">
    <w:name w:val="Heading 1 Char"/>
    <w:basedOn w:val="DefaultParagraphFont"/>
    <w:link w:val="Heading1"/>
    <w:uiPriority w:val="9"/>
    <w:rsid w:val="5D007DC2"/>
    <w:rPr>
      <w:rFonts w:asciiTheme="majorHAnsi" w:eastAsiaTheme="majorEastAsia" w:hAnsiTheme="majorHAnsi" w:cstheme="majorBidi"/>
      <w:noProof w:val="0"/>
      <w:color w:val="2F5496" w:themeColor="accent1" w:themeShade="BF"/>
      <w:sz w:val="32"/>
      <w:szCs w:val="32"/>
      <w:lang w:val="en-US"/>
    </w:rPr>
  </w:style>
  <w:style w:type="character" w:customStyle="1" w:styleId="Heading3Char">
    <w:name w:val="Heading 3 Char"/>
    <w:basedOn w:val="DefaultParagraphFont"/>
    <w:link w:val="Heading3"/>
    <w:uiPriority w:val="9"/>
    <w:rsid w:val="5D007DC2"/>
    <w:rPr>
      <w:rFonts w:asciiTheme="majorHAnsi" w:eastAsiaTheme="majorEastAsia" w:hAnsiTheme="majorHAnsi" w:cstheme="majorBidi"/>
      <w:noProof w:val="0"/>
      <w:color w:val="1F3763"/>
      <w:sz w:val="24"/>
      <w:szCs w:val="24"/>
      <w:lang w:val="en-US"/>
    </w:rPr>
  </w:style>
  <w:style w:type="character" w:customStyle="1" w:styleId="Heading4Char">
    <w:name w:val="Heading 4 Char"/>
    <w:basedOn w:val="DefaultParagraphFont"/>
    <w:link w:val="Heading4"/>
    <w:uiPriority w:val="9"/>
    <w:rsid w:val="5D007DC2"/>
    <w:rPr>
      <w:rFonts w:asciiTheme="majorHAnsi" w:eastAsiaTheme="majorEastAsia" w:hAnsiTheme="majorHAnsi" w:cstheme="majorBidi"/>
      <w:i/>
      <w:iCs/>
      <w:noProof w:val="0"/>
      <w:color w:val="2F5496" w:themeColor="accent1" w:themeShade="BF"/>
      <w:lang w:val="en-US"/>
    </w:rPr>
  </w:style>
  <w:style w:type="character" w:customStyle="1" w:styleId="Heading5Char">
    <w:name w:val="Heading 5 Char"/>
    <w:basedOn w:val="DefaultParagraphFont"/>
    <w:link w:val="Heading5"/>
    <w:uiPriority w:val="9"/>
    <w:rsid w:val="5D007DC2"/>
    <w:rPr>
      <w:rFonts w:asciiTheme="majorHAnsi" w:eastAsiaTheme="majorEastAsia" w:hAnsiTheme="majorHAnsi" w:cstheme="majorBidi"/>
      <w:noProof w:val="0"/>
      <w:color w:val="2F5496" w:themeColor="accent1" w:themeShade="BF"/>
      <w:lang w:val="en-US"/>
    </w:rPr>
  </w:style>
  <w:style w:type="character" w:customStyle="1" w:styleId="Heading6Char">
    <w:name w:val="Heading 6 Char"/>
    <w:basedOn w:val="DefaultParagraphFont"/>
    <w:link w:val="Heading6"/>
    <w:uiPriority w:val="9"/>
    <w:rsid w:val="5D007DC2"/>
    <w:rPr>
      <w:rFonts w:asciiTheme="majorHAnsi" w:eastAsiaTheme="majorEastAsia" w:hAnsiTheme="majorHAnsi" w:cstheme="majorBidi"/>
      <w:noProof w:val="0"/>
      <w:color w:val="1F3763"/>
      <w:lang w:val="en-US"/>
    </w:rPr>
  </w:style>
  <w:style w:type="character" w:customStyle="1" w:styleId="Heading7Char">
    <w:name w:val="Heading 7 Char"/>
    <w:basedOn w:val="DefaultParagraphFont"/>
    <w:link w:val="Heading7"/>
    <w:uiPriority w:val="9"/>
    <w:rsid w:val="5D007DC2"/>
    <w:rPr>
      <w:rFonts w:asciiTheme="majorHAnsi" w:eastAsiaTheme="majorEastAsia" w:hAnsiTheme="majorHAnsi" w:cstheme="majorBidi"/>
      <w:i/>
      <w:iCs/>
      <w:noProof w:val="0"/>
      <w:color w:val="1F3763"/>
      <w:lang w:val="en-US"/>
    </w:rPr>
  </w:style>
  <w:style w:type="character" w:customStyle="1" w:styleId="Heading8Char">
    <w:name w:val="Heading 8 Char"/>
    <w:basedOn w:val="DefaultParagraphFont"/>
    <w:link w:val="Heading8"/>
    <w:uiPriority w:val="9"/>
    <w:rsid w:val="5D007DC2"/>
    <w:rPr>
      <w:rFonts w:asciiTheme="majorHAnsi" w:eastAsiaTheme="majorEastAsia" w:hAnsiTheme="majorHAnsi" w:cstheme="majorBidi"/>
      <w:noProof w:val="0"/>
      <w:color w:val="272727"/>
      <w:sz w:val="21"/>
      <w:szCs w:val="21"/>
      <w:lang w:val="en-US"/>
    </w:rPr>
  </w:style>
  <w:style w:type="character" w:customStyle="1" w:styleId="Heading9Char">
    <w:name w:val="Heading 9 Char"/>
    <w:basedOn w:val="DefaultParagraphFont"/>
    <w:link w:val="Heading9"/>
    <w:uiPriority w:val="9"/>
    <w:rsid w:val="5D007DC2"/>
    <w:rPr>
      <w:rFonts w:asciiTheme="majorHAnsi" w:eastAsiaTheme="majorEastAsia" w:hAnsiTheme="majorHAnsi" w:cstheme="majorBidi"/>
      <w:i/>
      <w:iCs/>
      <w:noProof w:val="0"/>
      <w:color w:val="272727"/>
      <w:sz w:val="21"/>
      <w:szCs w:val="21"/>
      <w:lang w:val="en-US"/>
    </w:rPr>
  </w:style>
  <w:style w:type="character" w:customStyle="1" w:styleId="TitleChar">
    <w:name w:val="Title Char"/>
    <w:basedOn w:val="DefaultParagraphFont"/>
    <w:link w:val="Title"/>
    <w:uiPriority w:val="10"/>
    <w:rsid w:val="5D007DC2"/>
    <w:rPr>
      <w:rFonts w:asciiTheme="majorHAnsi" w:eastAsiaTheme="majorEastAsia" w:hAnsiTheme="majorHAnsi" w:cstheme="majorBidi"/>
      <w:noProof w:val="0"/>
      <w:sz w:val="56"/>
      <w:szCs w:val="56"/>
      <w:lang w:val="en-US"/>
    </w:rPr>
  </w:style>
  <w:style w:type="character" w:customStyle="1" w:styleId="SubtitleChar">
    <w:name w:val="Subtitle Char"/>
    <w:basedOn w:val="DefaultParagraphFont"/>
    <w:link w:val="Subtitle"/>
    <w:uiPriority w:val="11"/>
    <w:rsid w:val="5D007DC2"/>
    <w:rPr>
      <w:rFonts w:asciiTheme="minorHAnsi" w:eastAsiaTheme="minorEastAsia" w:hAnsiTheme="minorHAnsi" w:cstheme="minorBidi"/>
      <w:noProof w:val="0"/>
      <w:color w:val="5A5A5A"/>
      <w:lang w:val="en-US"/>
    </w:rPr>
  </w:style>
  <w:style w:type="character" w:customStyle="1" w:styleId="QuoteChar">
    <w:name w:val="Quote Char"/>
    <w:basedOn w:val="DefaultParagraphFont"/>
    <w:link w:val="Quote"/>
    <w:uiPriority w:val="29"/>
    <w:rsid w:val="5D007DC2"/>
    <w:rPr>
      <w:i/>
      <w:iCs/>
      <w:noProof w:val="0"/>
      <w:color w:val="404040" w:themeColor="text1" w:themeTint="BF"/>
      <w:lang w:val="en-US"/>
    </w:rPr>
  </w:style>
  <w:style w:type="character" w:customStyle="1" w:styleId="IntenseQuoteChar">
    <w:name w:val="Intense Quote Char"/>
    <w:basedOn w:val="DefaultParagraphFont"/>
    <w:link w:val="IntenseQuote"/>
    <w:uiPriority w:val="30"/>
    <w:rsid w:val="5D007DC2"/>
    <w:rPr>
      <w:i/>
      <w:iCs/>
      <w:noProof w:val="0"/>
      <w:color w:val="4472C4" w:themeColor="accent1"/>
      <w:lang w:val="en-US"/>
    </w:rPr>
  </w:style>
  <w:style w:type="paragraph" w:styleId="TOC1">
    <w:name w:val="toc 1"/>
    <w:basedOn w:val="Normal"/>
    <w:next w:val="Normal"/>
    <w:uiPriority w:val="39"/>
    <w:unhideWhenUsed/>
    <w:rsid w:val="5D007DC2"/>
    <w:pPr>
      <w:spacing w:after="100"/>
    </w:pPr>
  </w:style>
  <w:style w:type="paragraph" w:styleId="TOC2">
    <w:name w:val="toc 2"/>
    <w:basedOn w:val="Normal"/>
    <w:next w:val="Normal"/>
    <w:uiPriority w:val="39"/>
    <w:unhideWhenUsed/>
    <w:rsid w:val="5D007DC2"/>
    <w:pPr>
      <w:spacing w:after="100"/>
      <w:ind w:left="220"/>
    </w:pPr>
  </w:style>
  <w:style w:type="paragraph" w:styleId="TOC3">
    <w:name w:val="toc 3"/>
    <w:basedOn w:val="Normal"/>
    <w:next w:val="Normal"/>
    <w:uiPriority w:val="39"/>
    <w:unhideWhenUsed/>
    <w:rsid w:val="5D007DC2"/>
    <w:pPr>
      <w:spacing w:after="100"/>
      <w:ind w:left="440"/>
    </w:pPr>
  </w:style>
  <w:style w:type="paragraph" w:styleId="TOC4">
    <w:name w:val="toc 4"/>
    <w:basedOn w:val="Normal"/>
    <w:next w:val="Normal"/>
    <w:uiPriority w:val="39"/>
    <w:unhideWhenUsed/>
    <w:rsid w:val="5D007DC2"/>
    <w:pPr>
      <w:spacing w:after="100"/>
      <w:ind w:left="660"/>
    </w:pPr>
  </w:style>
  <w:style w:type="paragraph" w:styleId="TOC5">
    <w:name w:val="toc 5"/>
    <w:basedOn w:val="Normal"/>
    <w:next w:val="Normal"/>
    <w:uiPriority w:val="39"/>
    <w:unhideWhenUsed/>
    <w:rsid w:val="5D007DC2"/>
    <w:pPr>
      <w:spacing w:after="100"/>
      <w:ind w:left="880"/>
    </w:pPr>
  </w:style>
  <w:style w:type="paragraph" w:styleId="TOC6">
    <w:name w:val="toc 6"/>
    <w:basedOn w:val="Normal"/>
    <w:next w:val="Normal"/>
    <w:uiPriority w:val="39"/>
    <w:unhideWhenUsed/>
    <w:rsid w:val="5D007DC2"/>
    <w:pPr>
      <w:spacing w:after="100"/>
      <w:ind w:left="1100"/>
    </w:pPr>
  </w:style>
  <w:style w:type="paragraph" w:styleId="TOC7">
    <w:name w:val="toc 7"/>
    <w:basedOn w:val="Normal"/>
    <w:next w:val="Normal"/>
    <w:uiPriority w:val="39"/>
    <w:unhideWhenUsed/>
    <w:rsid w:val="5D007DC2"/>
    <w:pPr>
      <w:spacing w:after="100"/>
      <w:ind w:left="1320"/>
    </w:pPr>
  </w:style>
  <w:style w:type="paragraph" w:styleId="TOC8">
    <w:name w:val="toc 8"/>
    <w:basedOn w:val="Normal"/>
    <w:next w:val="Normal"/>
    <w:uiPriority w:val="39"/>
    <w:unhideWhenUsed/>
    <w:rsid w:val="5D007DC2"/>
    <w:pPr>
      <w:spacing w:after="100"/>
      <w:ind w:left="1540"/>
    </w:pPr>
  </w:style>
  <w:style w:type="paragraph" w:styleId="TOC9">
    <w:name w:val="toc 9"/>
    <w:basedOn w:val="Normal"/>
    <w:next w:val="Normal"/>
    <w:uiPriority w:val="39"/>
    <w:unhideWhenUsed/>
    <w:rsid w:val="5D007DC2"/>
    <w:pPr>
      <w:spacing w:after="100"/>
      <w:ind w:left="1760"/>
    </w:pPr>
  </w:style>
  <w:style w:type="paragraph" w:styleId="EndnoteText">
    <w:name w:val="endnote text"/>
    <w:basedOn w:val="Normal"/>
    <w:link w:val="EndnoteTextChar"/>
    <w:uiPriority w:val="99"/>
    <w:semiHidden/>
    <w:unhideWhenUsed/>
    <w:rsid w:val="5D007DC2"/>
    <w:rPr>
      <w:sz w:val="20"/>
      <w:szCs w:val="20"/>
    </w:rPr>
  </w:style>
  <w:style w:type="character" w:customStyle="1" w:styleId="EndnoteTextChar">
    <w:name w:val="Endnote Text Char"/>
    <w:basedOn w:val="DefaultParagraphFont"/>
    <w:link w:val="EndnoteText"/>
    <w:uiPriority w:val="99"/>
    <w:semiHidden/>
    <w:rsid w:val="5D007DC2"/>
    <w:rPr>
      <w:noProof w:val="0"/>
      <w:sz w:val="20"/>
      <w:szCs w:val="20"/>
      <w:lang w:val="en-US"/>
    </w:rPr>
  </w:style>
  <w:style w:type="paragraph" w:styleId="Footer">
    <w:name w:val="footer"/>
    <w:basedOn w:val="Normal"/>
    <w:link w:val="FooterChar"/>
    <w:uiPriority w:val="99"/>
    <w:unhideWhenUsed/>
    <w:rsid w:val="5D007DC2"/>
    <w:pPr>
      <w:tabs>
        <w:tab w:val="center" w:pos="4680"/>
        <w:tab w:val="right" w:pos="9360"/>
      </w:tabs>
    </w:pPr>
  </w:style>
  <w:style w:type="character" w:customStyle="1" w:styleId="FooterChar">
    <w:name w:val="Footer Char"/>
    <w:basedOn w:val="DefaultParagraphFont"/>
    <w:link w:val="Footer"/>
    <w:uiPriority w:val="99"/>
    <w:rsid w:val="5D007DC2"/>
    <w:rPr>
      <w:noProof w:val="0"/>
      <w:lang w:val="en-US"/>
    </w:rPr>
  </w:style>
  <w:style w:type="paragraph" w:styleId="FootnoteText">
    <w:name w:val="footnote text"/>
    <w:basedOn w:val="Normal"/>
    <w:link w:val="FootnoteTextChar"/>
    <w:uiPriority w:val="99"/>
    <w:semiHidden/>
    <w:unhideWhenUsed/>
    <w:rsid w:val="5D007DC2"/>
    <w:rPr>
      <w:sz w:val="20"/>
      <w:szCs w:val="20"/>
    </w:rPr>
  </w:style>
  <w:style w:type="character" w:customStyle="1" w:styleId="FootnoteTextChar">
    <w:name w:val="Footnote Text Char"/>
    <w:basedOn w:val="DefaultParagraphFont"/>
    <w:link w:val="FootnoteText"/>
    <w:uiPriority w:val="99"/>
    <w:semiHidden/>
    <w:rsid w:val="5D007DC2"/>
    <w:rPr>
      <w:noProof w:val="0"/>
      <w:sz w:val="20"/>
      <w:szCs w:val="20"/>
      <w:lang w:val="en-US"/>
    </w:rPr>
  </w:style>
  <w:style w:type="paragraph" w:styleId="Header">
    <w:name w:val="header"/>
    <w:basedOn w:val="Normal"/>
    <w:link w:val="HeaderChar"/>
    <w:uiPriority w:val="99"/>
    <w:unhideWhenUsed/>
    <w:rsid w:val="5D007DC2"/>
    <w:pPr>
      <w:tabs>
        <w:tab w:val="center" w:pos="4680"/>
        <w:tab w:val="right" w:pos="9360"/>
      </w:tabs>
    </w:pPr>
  </w:style>
  <w:style w:type="character" w:customStyle="1" w:styleId="HeaderChar">
    <w:name w:val="Header Char"/>
    <w:basedOn w:val="DefaultParagraphFont"/>
    <w:link w:val="Header"/>
    <w:uiPriority w:val="99"/>
    <w:rsid w:val="5D007DC2"/>
    <w:rPr>
      <w:noProof w:val="0"/>
      <w:lang w:val="en-US"/>
    </w:rPr>
  </w:style>
  <w:style w:type="character" w:styleId="Hyperlink">
    <w:name w:val="Hyperlink"/>
    <w:basedOn w:val="DefaultParagraphFont"/>
    <w:uiPriority w:val="99"/>
    <w:unhideWhenUsed/>
    <w:rsid w:val="00803BA7"/>
    <w:rPr>
      <w:color w:val="0563C1" w:themeColor="hyperlink"/>
      <w:u w:val="single"/>
    </w:rPr>
  </w:style>
  <w:style w:type="character" w:styleId="CommentReference">
    <w:name w:val="annotation reference"/>
    <w:basedOn w:val="DefaultParagraphFont"/>
    <w:uiPriority w:val="99"/>
    <w:semiHidden/>
    <w:unhideWhenUsed/>
    <w:rsid w:val="00E86F9E"/>
    <w:rPr>
      <w:sz w:val="16"/>
      <w:szCs w:val="16"/>
    </w:rPr>
  </w:style>
  <w:style w:type="paragraph" w:styleId="CommentText">
    <w:name w:val="annotation text"/>
    <w:basedOn w:val="Normal"/>
    <w:link w:val="CommentTextChar"/>
    <w:uiPriority w:val="99"/>
    <w:unhideWhenUsed/>
    <w:rsid w:val="00E86F9E"/>
    <w:rPr>
      <w:sz w:val="20"/>
      <w:szCs w:val="20"/>
    </w:rPr>
  </w:style>
  <w:style w:type="character" w:customStyle="1" w:styleId="CommentTextChar">
    <w:name w:val="Comment Text Char"/>
    <w:basedOn w:val="DefaultParagraphFont"/>
    <w:link w:val="CommentText"/>
    <w:uiPriority w:val="99"/>
    <w:rsid w:val="00E86F9E"/>
    <w:rPr>
      <w:sz w:val="20"/>
      <w:szCs w:val="20"/>
    </w:rPr>
  </w:style>
  <w:style w:type="paragraph" w:styleId="CommentSubject">
    <w:name w:val="annotation subject"/>
    <w:basedOn w:val="CommentText"/>
    <w:next w:val="CommentText"/>
    <w:link w:val="CommentSubjectChar"/>
    <w:uiPriority w:val="99"/>
    <w:semiHidden/>
    <w:unhideWhenUsed/>
    <w:rsid w:val="00E86F9E"/>
    <w:rPr>
      <w:b/>
      <w:bCs/>
    </w:rPr>
  </w:style>
  <w:style w:type="character" w:customStyle="1" w:styleId="CommentSubjectChar">
    <w:name w:val="Comment Subject Char"/>
    <w:basedOn w:val="CommentTextChar"/>
    <w:link w:val="CommentSubject"/>
    <w:uiPriority w:val="99"/>
    <w:semiHidden/>
    <w:rsid w:val="00E86F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439078">
      <w:bodyDiv w:val="1"/>
      <w:marLeft w:val="0"/>
      <w:marRight w:val="0"/>
      <w:marTop w:val="0"/>
      <w:marBottom w:val="0"/>
      <w:divBdr>
        <w:top w:val="none" w:sz="0" w:space="0" w:color="auto"/>
        <w:left w:val="none" w:sz="0" w:space="0" w:color="auto"/>
        <w:bottom w:val="none" w:sz="0" w:space="0" w:color="auto"/>
        <w:right w:val="none" w:sz="0" w:space="0" w:color="auto"/>
      </w:divBdr>
    </w:div>
    <w:div w:id="1691444684">
      <w:bodyDiv w:val="1"/>
      <w:marLeft w:val="0"/>
      <w:marRight w:val="0"/>
      <w:marTop w:val="0"/>
      <w:marBottom w:val="0"/>
      <w:divBdr>
        <w:top w:val="none" w:sz="0" w:space="0" w:color="auto"/>
        <w:left w:val="none" w:sz="0" w:space="0" w:color="auto"/>
        <w:bottom w:val="none" w:sz="0" w:space="0" w:color="auto"/>
        <w:right w:val="none" w:sz="0" w:space="0" w:color="auto"/>
      </w:divBdr>
    </w:div>
    <w:div w:id="1897617916">
      <w:bodyDiv w:val="1"/>
      <w:marLeft w:val="0"/>
      <w:marRight w:val="0"/>
      <w:marTop w:val="0"/>
      <w:marBottom w:val="0"/>
      <w:divBdr>
        <w:top w:val="none" w:sz="0" w:space="0" w:color="auto"/>
        <w:left w:val="none" w:sz="0" w:space="0" w:color="auto"/>
        <w:bottom w:val="none" w:sz="0" w:space="0" w:color="auto"/>
        <w:right w:val="none" w:sz="0" w:space="0" w:color="auto"/>
      </w:divBdr>
    </w:div>
    <w:div w:id="189978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hyperlink" Target="mailto:ana.figueira@lnbio.cnpem.br" TargetMode="External"/><Relationship Id="rId10" Type="http://schemas.openxmlformats.org/officeDocument/2006/relationships/image" Target="media/image5.emf"/><Relationship Id="rId4" Type="http://schemas.openxmlformats.org/officeDocument/2006/relationships/hyperlink" Target="mailto:daniela.trivella@lnbio.cnpem.br" TargetMode="External"/><Relationship Id="rId9" Type="http://schemas.openxmlformats.org/officeDocument/2006/relationships/image" Target="media/image4.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8</Pages>
  <Words>1167</Words>
  <Characters>6654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Barretto Barbosa Trivella</dc:creator>
  <cp:keywords/>
  <dc:description/>
  <cp:lastModifiedBy>Daniela Barretto Barbosa Trivella</cp:lastModifiedBy>
  <cp:revision>8</cp:revision>
  <dcterms:created xsi:type="dcterms:W3CDTF">2022-05-13T18:21:00Z</dcterms:created>
  <dcterms:modified xsi:type="dcterms:W3CDTF">2022-05-18T13:48:00Z</dcterms:modified>
</cp:coreProperties>
</file>