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4BA9" w:rsidRDefault="00774BA9" w:rsidP="00774BA9">
      <w:pPr>
        <w:adjustRightInd w:val="0"/>
        <w:rPr>
          <w:rFonts w:ascii="Arial" w:hAnsi="Arial" w:cs="Arial"/>
          <w:b/>
          <w:bCs/>
          <w:color w:val="000000"/>
          <w:sz w:val="16"/>
          <w:szCs w:val="16"/>
        </w:rPr>
      </w:pPr>
      <w:r>
        <w:rPr>
          <w:rFonts w:ascii="Arial" w:hAnsi="Arial" w:cs="Arial"/>
          <w:b/>
          <w:bCs/>
          <w:color w:val="000000"/>
          <w:sz w:val="16"/>
          <w:szCs w:val="16"/>
        </w:rPr>
        <w:t xml:space="preserve">Supplementary Table 1. Change in clinical characteristics among </w:t>
      </w:r>
      <w:r>
        <w:rPr>
          <w:rFonts w:ascii="Arial" w:hAnsi="Arial" w:cs="Arial"/>
          <w:b/>
          <w:bCs/>
          <w:i/>
          <w:iCs/>
          <w:color w:val="000000"/>
          <w:sz w:val="16"/>
          <w:szCs w:val="16"/>
        </w:rPr>
        <w:t>LRRK2</w:t>
      </w:r>
      <w:r>
        <w:rPr>
          <w:rFonts w:ascii="Arial" w:hAnsi="Arial" w:cs="Arial"/>
          <w:b/>
          <w:bCs/>
          <w:color w:val="000000"/>
          <w:sz w:val="16"/>
          <w:szCs w:val="16"/>
        </w:rPr>
        <w:t xml:space="preserve"> G2019S carriers with </w:t>
      </w:r>
      <w:r>
        <w:rPr>
          <w:rFonts w:ascii="Arial" w:hAnsi="Arial" w:cs="Arial"/>
          <w:b/>
          <w:bCs/>
          <w:i/>
          <w:iCs/>
          <w:color w:val="000000"/>
          <w:sz w:val="16"/>
          <w:szCs w:val="16"/>
        </w:rPr>
        <w:t>vs</w:t>
      </w:r>
      <w:r>
        <w:rPr>
          <w:rFonts w:ascii="Arial" w:hAnsi="Arial" w:cs="Arial"/>
          <w:b/>
          <w:bCs/>
          <w:color w:val="000000"/>
          <w:sz w:val="16"/>
          <w:szCs w:val="16"/>
        </w:rPr>
        <w:t xml:space="preserve"> without baseline hyposmia</w:t>
      </w:r>
      <w:r>
        <w:rPr>
          <w:rFonts w:ascii="Arial" w:hAnsi="Arial" w:cs="Arial"/>
          <w:b/>
          <w:bCs/>
          <w:color w:val="000000"/>
          <w:sz w:val="16"/>
          <w:szCs w:val="16"/>
        </w:rPr>
        <w:br/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312"/>
        <w:gridCol w:w="1379"/>
        <w:gridCol w:w="1379"/>
        <w:gridCol w:w="1379"/>
        <w:gridCol w:w="180"/>
        <w:gridCol w:w="1379"/>
        <w:gridCol w:w="1379"/>
        <w:gridCol w:w="1379"/>
        <w:gridCol w:w="180"/>
        <w:gridCol w:w="1327"/>
      </w:tblGrid>
      <w:tr w:rsidR="00774BA9" w:rsidTr="00DD30A1">
        <w:trPr>
          <w:cantSplit/>
          <w:tblHeader/>
        </w:trPr>
        <w:tc>
          <w:tcPr>
            <w:tcW w:w="3312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  <w:vAlign w:val="bottom"/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37" w:type="dxa"/>
            <w:gridSpan w:val="3"/>
            <w:tcBorders>
              <w:top w:val="single" w:sz="6" w:space="0" w:color="000000"/>
              <w:left w:val="nil"/>
              <w:bottom w:val="single" w:sz="7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  <w:vAlign w:val="bottom"/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LRRK2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G2019S carriers: baseline hyposmia</w:t>
            </w:r>
          </w:p>
        </w:tc>
        <w:tc>
          <w:tcPr>
            <w:tcW w:w="180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  <w:vAlign w:val="bottom"/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37" w:type="dxa"/>
            <w:gridSpan w:val="3"/>
            <w:tcBorders>
              <w:top w:val="single" w:sz="6" w:space="0" w:color="000000"/>
              <w:left w:val="nil"/>
              <w:bottom w:val="single" w:sz="7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  <w:vAlign w:val="bottom"/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LRRK2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G2019S carriers: no baseline hyposmia</w:t>
            </w:r>
          </w:p>
        </w:tc>
        <w:tc>
          <w:tcPr>
            <w:tcW w:w="180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  <w:vAlign w:val="bottom"/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27" w:type="dxa"/>
            <w:tcBorders>
              <w:top w:val="single" w:sz="6" w:space="0" w:color="000000"/>
              <w:left w:val="nil"/>
              <w:bottom w:val="single" w:sz="7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  <w:vAlign w:val="bottom"/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 value</w:t>
            </w:r>
          </w:p>
        </w:tc>
      </w:tr>
      <w:tr w:rsidR="00774BA9" w:rsidTr="00DD30A1">
        <w:trPr>
          <w:cantSplit/>
          <w:tblHeader/>
        </w:trPr>
        <w:tc>
          <w:tcPr>
            <w:tcW w:w="3312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  <w:vAlign w:val="bottom"/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  <w:vAlign w:val="bottom"/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Baseline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(N = 20)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  <w:vAlign w:val="bottom"/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Year 1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(N = 20)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  <w:vAlign w:val="bottom"/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Year 2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(N = 13)</w:t>
            </w:r>
          </w:p>
        </w:tc>
        <w:tc>
          <w:tcPr>
            <w:tcW w:w="180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  <w:vAlign w:val="bottom"/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  <w:vAlign w:val="bottom"/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Baseline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(N = 156)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  <w:vAlign w:val="bottom"/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Year 1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(N = 152)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  <w:vAlign w:val="bottom"/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Year 2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(N = 127)</w:t>
            </w:r>
          </w:p>
        </w:tc>
        <w:tc>
          <w:tcPr>
            <w:tcW w:w="180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  <w:vAlign w:val="bottom"/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  <w:vAlign w:val="bottom"/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Group × time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effect</w:t>
            </w:r>
          </w:p>
        </w:tc>
      </w:tr>
      <w:tr w:rsidR="00774BA9" w:rsidTr="00DD30A1">
        <w:trPr>
          <w:cantSplit/>
        </w:trPr>
        <w:tc>
          <w:tcPr>
            <w:tcW w:w="3312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MDS-UPDRS total score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11.2 (11.3)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11.4 (11.7)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12.1 (14.7)</w:t>
            </w:r>
          </w:p>
        </w:tc>
        <w:tc>
          <w:tcPr>
            <w:tcW w:w="180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8.6 (6.9)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9.4 (7.9)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9.1 (8.5)</w:t>
            </w:r>
          </w:p>
        </w:tc>
        <w:tc>
          <w:tcPr>
            <w:tcW w:w="180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27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0.6752</w:t>
            </w:r>
          </w:p>
        </w:tc>
      </w:tr>
      <w:tr w:rsidR="00774BA9" w:rsidTr="00DD30A1">
        <w:trPr>
          <w:cantSplit/>
        </w:trPr>
        <w:tc>
          <w:tcPr>
            <w:tcW w:w="3312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MDS-UPDRS Part I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 (5.0)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5.5 (5.8)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 (5.6)</w:t>
            </w:r>
          </w:p>
        </w:tc>
        <w:tc>
          <w:tcPr>
            <w:tcW w:w="180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4.8 (3.7)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 (3.9)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4.7 (3.9)</w:t>
            </w:r>
          </w:p>
        </w:tc>
        <w:tc>
          <w:tcPr>
            <w:tcW w:w="180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27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0.8862</w:t>
            </w:r>
          </w:p>
        </w:tc>
      </w:tr>
      <w:tr w:rsidR="00774BA9" w:rsidTr="00DD30A1">
        <w:trPr>
          <w:cantSplit/>
        </w:trPr>
        <w:tc>
          <w:tcPr>
            <w:tcW w:w="3312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MDS-UPDRS Part II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2.3 (3.9)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2.9 (5.4)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2.7 (4.1)</w:t>
            </w:r>
          </w:p>
        </w:tc>
        <w:tc>
          <w:tcPr>
            <w:tcW w:w="180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1.0 (1.9)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1.2 (2.2)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1.3 (2.4)</w:t>
            </w:r>
          </w:p>
        </w:tc>
        <w:tc>
          <w:tcPr>
            <w:tcW w:w="180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27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0.3978</w:t>
            </w:r>
          </w:p>
        </w:tc>
      </w:tr>
      <w:tr w:rsidR="00774BA9" w:rsidTr="00DD30A1">
        <w:trPr>
          <w:cantSplit/>
        </w:trPr>
        <w:tc>
          <w:tcPr>
            <w:tcW w:w="3312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MDS-UPDRS Part III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4.7 (5.9)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4.2 (3.9)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3.8 (5.3)</w:t>
            </w:r>
          </w:p>
        </w:tc>
        <w:tc>
          <w:tcPr>
            <w:tcW w:w="180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2.9 (3.8)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3.1 (4.1)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3.2 (4.9)</w:t>
            </w:r>
          </w:p>
        </w:tc>
        <w:tc>
          <w:tcPr>
            <w:tcW w:w="180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27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0.6363</w:t>
            </w:r>
          </w:p>
        </w:tc>
      </w:tr>
      <w:tr w:rsidR="00774BA9" w:rsidTr="00DD30A1">
        <w:trPr>
          <w:cantSplit/>
        </w:trPr>
        <w:tc>
          <w:tcPr>
            <w:tcW w:w="3312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MOCA total score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, mean (SD; range)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26.9 (2.3; 22-30)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26.8 (2.6; 22-30)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27.2 (2.3; 23-30)</w:t>
            </w:r>
          </w:p>
        </w:tc>
        <w:tc>
          <w:tcPr>
            <w:tcW w:w="180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26.8 (2.5; 18-30)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27.1 (2.5; 16-30)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26.9 (2.5; 20-30)</w:t>
            </w:r>
          </w:p>
        </w:tc>
        <w:tc>
          <w:tcPr>
            <w:tcW w:w="180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27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0.9816</w:t>
            </w:r>
          </w:p>
        </w:tc>
      </w:tr>
      <w:tr w:rsidR="00774BA9" w:rsidTr="00DD30A1">
        <w:trPr>
          <w:cantSplit/>
        </w:trPr>
        <w:tc>
          <w:tcPr>
            <w:tcW w:w="3312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GDS-15 total score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2.2 (3.9)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1.9 (3.7)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2.5 (4.6)</w:t>
            </w:r>
          </w:p>
        </w:tc>
        <w:tc>
          <w:tcPr>
            <w:tcW w:w="180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1.7 (2.2)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1.5 (1.8)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1.6 (2.0)</w:t>
            </w:r>
          </w:p>
        </w:tc>
        <w:tc>
          <w:tcPr>
            <w:tcW w:w="180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27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0.9198</w:t>
            </w:r>
          </w:p>
        </w:tc>
      </w:tr>
      <w:tr w:rsidR="00774BA9" w:rsidTr="00DD30A1">
        <w:trPr>
          <w:cantSplit/>
        </w:trPr>
        <w:tc>
          <w:tcPr>
            <w:tcW w:w="3312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SCOPA-AUT total score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10.8 (6.2)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11.2 (8.5)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11.3 (7.0)</w:t>
            </w:r>
          </w:p>
        </w:tc>
        <w:tc>
          <w:tcPr>
            <w:tcW w:w="180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8.2 (6.0)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8.5 (6.3)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8.3 (6.1)</w:t>
            </w:r>
          </w:p>
        </w:tc>
        <w:tc>
          <w:tcPr>
            <w:tcW w:w="180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27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0.4918</w:t>
            </w:r>
          </w:p>
        </w:tc>
      </w:tr>
      <w:tr w:rsidR="00774BA9" w:rsidTr="00DD30A1">
        <w:trPr>
          <w:cantSplit/>
        </w:trPr>
        <w:tc>
          <w:tcPr>
            <w:tcW w:w="3312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Orthostatic s</w:t>
            </w:r>
            <w:r w:rsidRPr="00C3721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ystolic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blood pressure drop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-3.1 (12.8)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-0.2 (11.2)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-1.3 (7.8)</w:t>
            </w:r>
          </w:p>
        </w:tc>
        <w:tc>
          <w:tcPr>
            <w:tcW w:w="180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0.5 (10.7)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-1.0 (11.2)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-0.4 (10.9)</w:t>
            </w:r>
          </w:p>
        </w:tc>
        <w:tc>
          <w:tcPr>
            <w:tcW w:w="180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27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0.7726</w:t>
            </w:r>
          </w:p>
        </w:tc>
      </w:tr>
      <w:tr w:rsidR="00774BA9" w:rsidTr="00DD30A1">
        <w:trPr>
          <w:cantSplit/>
        </w:trPr>
        <w:tc>
          <w:tcPr>
            <w:tcW w:w="3312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Orthostatic d</w:t>
            </w:r>
            <w:r w:rsidRPr="00C3721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iastolic 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blood pressure drop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-5.2 (6.4)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-3.9 (7.8)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-2.3 (7.0)</w:t>
            </w:r>
          </w:p>
        </w:tc>
        <w:tc>
          <w:tcPr>
            <w:tcW w:w="180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-3.5 (7.8)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-4.7 (7.6)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-3.3 (7.6)</w:t>
            </w:r>
          </w:p>
        </w:tc>
        <w:tc>
          <w:tcPr>
            <w:tcW w:w="180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27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0.4713</w:t>
            </w:r>
          </w:p>
        </w:tc>
      </w:tr>
      <w:tr w:rsidR="00774BA9" w:rsidTr="00DD30A1">
        <w:trPr>
          <w:cantSplit/>
        </w:trPr>
        <w:tc>
          <w:tcPr>
            <w:tcW w:w="3312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State trait anxiety score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64.9 (18.6)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63.0 (22.6)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70.9 (24.2)</w:t>
            </w:r>
          </w:p>
        </w:tc>
        <w:tc>
          <w:tcPr>
            <w:tcW w:w="180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60.9 (16.5)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59.8 (15.8)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59.5 (15.8)</w:t>
            </w:r>
          </w:p>
        </w:tc>
        <w:tc>
          <w:tcPr>
            <w:tcW w:w="180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27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0.5323</w:t>
            </w:r>
          </w:p>
        </w:tc>
      </w:tr>
      <w:tr w:rsidR="00774BA9" w:rsidTr="00DD30A1">
        <w:trPr>
          <w:cantSplit/>
        </w:trPr>
        <w:tc>
          <w:tcPr>
            <w:tcW w:w="3312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QUIP (≥ 1 disorder)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 (28%)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 (29%)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 (27%)</w:t>
            </w:r>
          </w:p>
        </w:tc>
        <w:tc>
          <w:tcPr>
            <w:tcW w:w="180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 (26%)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 (27%)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 (33%)</w:t>
            </w:r>
          </w:p>
        </w:tc>
        <w:tc>
          <w:tcPr>
            <w:tcW w:w="180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27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0.8616</w:t>
            </w:r>
          </w:p>
        </w:tc>
      </w:tr>
      <w:tr w:rsidR="00774BA9" w:rsidTr="00DD30A1">
        <w:trPr>
          <w:cantSplit/>
        </w:trPr>
        <w:tc>
          <w:tcPr>
            <w:tcW w:w="3312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Epworth sleepiness scale (≥ 10)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 (11%)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 (22%)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 (27%)</w:t>
            </w:r>
          </w:p>
        </w:tc>
        <w:tc>
          <w:tcPr>
            <w:tcW w:w="180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 (10%)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 (9%)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 (9%)</w:t>
            </w:r>
          </w:p>
        </w:tc>
        <w:tc>
          <w:tcPr>
            <w:tcW w:w="180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27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0.0686</w:t>
            </w:r>
          </w:p>
        </w:tc>
      </w:tr>
      <w:tr w:rsidR="00774BA9" w:rsidTr="00DD30A1">
        <w:trPr>
          <w:cantSplit/>
        </w:trPr>
        <w:tc>
          <w:tcPr>
            <w:tcW w:w="3312" w:type="dxa"/>
            <w:tcBorders>
              <w:top w:val="single" w:sz="6" w:space="0" w:color="2F2F2F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RBDSQ (≥ 5)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 (12%)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 (25%)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 (9%)</w:t>
            </w:r>
          </w:p>
        </w:tc>
        <w:tc>
          <w:tcPr>
            <w:tcW w:w="180" w:type="dxa"/>
            <w:tcBorders>
              <w:top w:val="single" w:sz="6" w:space="0" w:color="2F2F2F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36 (23%)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 (21%)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 (21%)</w:t>
            </w:r>
          </w:p>
        </w:tc>
        <w:tc>
          <w:tcPr>
            <w:tcW w:w="180" w:type="dxa"/>
            <w:tcBorders>
              <w:top w:val="single" w:sz="6" w:space="0" w:color="2F2F2F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27" w:type="dxa"/>
            <w:tcBorders>
              <w:top w:val="single" w:sz="6" w:space="0" w:color="2F2F2F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0.6986</w:t>
            </w:r>
          </w:p>
        </w:tc>
      </w:tr>
    </w:tbl>
    <w:p w:rsidR="00774BA9" w:rsidRDefault="00774BA9" w:rsidP="00774BA9">
      <w:pPr>
        <w:adjustRightInd w:val="0"/>
        <w:rPr>
          <w:rFonts w:ascii="Arial" w:hAnsi="Arial" w:cs="Arial"/>
          <w:color w:val="000000"/>
          <w:sz w:val="16"/>
          <w:szCs w:val="16"/>
        </w:rPr>
      </w:pPr>
    </w:p>
    <w:p w:rsidR="00774BA9" w:rsidRDefault="00774BA9" w:rsidP="00774BA9">
      <w:pPr>
        <w:adjustRightInd w:val="0"/>
        <w:jc w:val="center"/>
        <w:rPr>
          <w:sz w:val="24"/>
          <w:szCs w:val="24"/>
        </w:rPr>
      </w:pPr>
    </w:p>
    <w:p w:rsidR="00774BA9" w:rsidRDefault="00774BA9" w:rsidP="00774BA9">
      <w:pPr>
        <w:adjustRightInd w:val="0"/>
        <w:spacing w:before="10" w:after="10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>Data are mean (SD) or n (%) unless otherwise stated. Hyposmia defined by UPSIT ≤ 15th percentile for age and sex. Five or fewer participants per group missed any one assessment except for the non-hyposmia group at year 2 (seven missed the SCOPA-AUT). p values were found using generalized estimating equations modeling the change from baseline at follow-up (continuous outcomes) or the binary response at follow-up (categorical outcomes) while adjusting for the baseline value. Significance level for comparisons is p &lt; 0.0038 (after Bonferroni correction). UPSIT=University of Pennsylvania Smell Identification Test. MDS-UPDRS=Movement Disorder Society Unified Parkinson’s Disease Rating Scale. MOCA=Montreal Cognitive Assessment. GDS-15=Geriatric Depression Scale (15-item). SCOPA-AUT=Scales for Outcomes in Parkinson’s Disease-Autonomic. QUIP=Questionnaire for Impulsive-Compulsive Disorders in Parkinson’s Disease. RBDSQ=REM Sleep Behavior Disorder Screening Questionnaire.</w:t>
      </w:r>
    </w:p>
    <w:p w:rsidR="00774BA9" w:rsidRDefault="00774BA9" w:rsidP="00774BA9">
      <w:pPr>
        <w:autoSpaceDE/>
        <w:autoSpaceDN/>
        <w:spacing w:after="160" w:line="259" w:lineRule="auto"/>
        <w:rPr>
          <w:rFonts w:ascii="Arial" w:hAnsi="Arial" w:cs="Arial"/>
          <w:b/>
          <w:bCs/>
          <w:color w:val="000000"/>
          <w:sz w:val="16"/>
          <w:szCs w:val="16"/>
        </w:rPr>
      </w:pPr>
      <w:r>
        <w:rPr>
          <w:rFonts w:ascii="Arial" w:hAnsi="Arial" w:cs="Arial"/>
          <w:b/>
          <w:bCs/>
          <w:color w:val="000000"/>
          <w:sz w:val="16"/>
          <w:szCs w:val="16"/>
        </w:rPr>
        <w:br w:type="page"/>
      </w:r>
    </w:p>
    <w:p w:rsidR="00774BA9" w:rsidRPr="00D11119" w:rsidRDefault="00774BA9" w:rsidP="00774BA9">
      <w:pPr>
        <w:adjustRightInd w:val="0"/>
        <w:spacing w:before="10" w:after="10"/>
        <w:rPr>
          <w:rFonts w:ascii="Arial" w:hAnsi="Arial" w:cs="Arial"/>
          <w:b/>
          <w:bCs/>
          <w:color w:val="000000"/>
          <w:sz w:val="16"/>
          <w:szCs w:val="16"/>
        </w:rPr>
      </w:pPr>
      <w:r w:rsidRPr="00D11119">
        <w:rPr>
          <w:rFonts w:ascii="Arial" w:hAnsi="Arial" w:cs="Arial"/>
          <w:b/>
          <w:bCs/>
          <w:color w:val="000000"/>
          <w:sz w:val="16"/>
          <w:szCs w:val="16"/>
        </w:rPr>
        <w:lastRenderedPageBreak/>
        <w:t xml:space="preserve">Supplementary Table 2. Change in DAT specific binding ratios among </w:t>
      </w:r>
      <w:r w:rsidRPr="00D11119">
        <w:rPr>
          <w:rFonts w:ascii="Arial" w:hAnsi="Arial" w:cs="Arial"/>
          <w:b/>
          <w:bCs/>
          <w:i/>
          <w:iCs/>
          <w:color w:val="000000"/>
          <w:sz w:val="16"/>
          <w:szCs w:val="16"/>
        </w:rPr>
        <w:t>LRRK2</w:t>
      </w:r>
      <w:r w:rsidRPr="00D11119">
        <w:rPr>
          <w:rFonts w:ascii="Arial" w:hAnsi="Arial" w:cs="Arial"/>
          <w:b/>
          <w:bCs/>
          <w:color w:val="000000"/>
          <w:sz w:val="16"/>
          <w:szCs w:val="16"/>
        </w:rPr>
        <w:t xml:space="preserve"> G2019S carriers and comparison to healthy controls at baseline</w:t>
      </w:r>
    </w:p>
    <w:p w:rsidR="00774BA9" w:rsidRDefault="00774BA9" w:rsidP="00774BA9">
      <w:pPr>
        <w:adjustRightInd w:val="0"/>
        <w:rPr>
          <w:rFonts w:ascii="Arial" w:hAnsi="Arial" w:cs="Arial"/>
          <w:b/>
          <w:bCs/>
          <w:color w:val="000000"/>
          <w:sz w:val="18"/>
          <w:szCs w:val="18"/>
        </w:rPr>
      </w:pPr>
    </w:p>
    <w:tbl>
      <w:tblPr>
        <w:tblW w:w="0" w:type="auto"/>
        <w:tblInd w:w="8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49"/>
        <w:gridCol w:w="1741"/>
        <w:gridCol w:w="1741"/>
        <w:gridCol w:w="180"/>
        <w:gridCol w:w="1741"/>
        <w:gridCol w:w="180"/>
        <w:gridCol w:w="1327"/>
        <w:gridCol w:w="1327"/>
        <w:gridCol w:w="180"/>
      </w:tblGrid>
      <w:tr w:rsidR="00774BA9" w:rsidTr="00DD30A1">
        <w:trPr>
          <w:cantSplit/>
          <w:tblHeader/>
        </w:trPr>
        <w:tc>
          <w:tcPr>
            <w:tcW w:w="1349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  <w:vAlign w:val="bottom"/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482" w:type="dxa"/>
            <w:gridSpan w:val="2"/>
            <w:tcBorders>
              <w:top w:val="single" w:sz="6" w:space="0" w:color="000000"/>
              <w:left w:val="nil"/>
              <w:bottom w:val="single" w:sz="7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  <w:vAlign w:val="bottom"/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LRRK2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G2019S carriers</w:t>
            </w:r>
          </w:p>
        </w:tc>
        <w:tc>
          <w:tcPr>
            <w:tcW w:w="175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  <w:vAlign w:val="bottom"/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741" w:type="dxa"/>
            <w:tcBorders>
              <w:top w:val="single" w:sz="6" w:space="0" w:color="000000"/>
              <w:left w:val="nil"/>
              <w:bottom w:val="single" w:sz="7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  <w:vAlign w:val="bottom"/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Healthy controls</w:t>
            </w:r>
          </w:p>
        </w:tc>
        <w:tc>
          <w:tcPr>
            <w:tcW w:w="175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  <w:vAlign w:val="bottom"/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654" w:type="dxa"/>
            <w:gridSpan w:val="2"/>
            <w:tcBorders>
              <w:top w:val="single" w:sz="6" w:space="0" w:color="000000"/>
              <w:left w:val="nil"/>
              <w:bottom w:val="single" w:sz="7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  <w:vAlign w:val="bottom"/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 values</w:t>
            </w:r>
          </w:p>
        </w:tc>
        <w:tc>
          <w:tcPr>
            <w:tcW w:w="175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  <w:vAlign w:val="bottom"/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774BA9" w:rsidTr="00DD30A1">
        <w:trPr>
          <w:cantSplit/>
          <w:tblHeader/>
        </w:trPr>
        <w:tc>
          <w:tcPr>
            <w:tcW w:w="1349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  <w:vAlign w:val="bottom"/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  <w:vAlign w:val="bottom"/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Baseline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(N = 176)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  <w:vAlign w:val="bottom"/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Year 2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(N = 140)</w:t>
            </w:r>
          </w:p>
        </w:tc>
        <w:tc>
          <w:tcPr>
            <w:tcW w:w="175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  <w:vAlign w:val="bottom"/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  <w:vAlign w:val="bottom"/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Baseline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(N = 185)</w:t>
            </w:r>
          </w:p>
        </w:tc>
        <w:tc>
          <w:tcPr>
            <w:tcW w:w="175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  <w:vAlign w:val="bottom"/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  <w:vAlign w:val="bottom"/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Time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effect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  <w:vAlign w:val="bottom"/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Group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effect</w:t>
            </w:r>
          </w:p>
        </w:tc>
        <w:tc>
          <w:tcPr>
            <w:tcW w:w="175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  <w:vAlign w:val="bottom"/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774BA9" w:rsidTr="00DD30A1">
        <w:trPr>
          <w:cantSplit/>
        </w:trPr>
        <w:tc>
          <w:tcPr>
            <w:tcW w:w="134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Caudate SBR</w:t>
            </w:r>
          </w:p>
        </w:tc>
        <w:tc>
          <w:tcPr>
            <w:tcW w:w="1741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2.97 (0.57; 1.38-4.30)</w:t>
            </w:r>
          </w:p>
        </w:tc>
        <w:tc>
          <w:tcPr>
            <w:tcW w:w="1741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2.89 (0.61; 1.27-4.59)</w:t>
            </w:r>
          </w:p>
        </w:tc>
        <w:tc>
          <w:tcPr>
            <w:tcW w:w="175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41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2.99 (0.61; 1.56-5.20)</w:t>
            </w:r>
          </w:p>
        </w:tc>
        <w:tc>
          <w:tcPr>
            <w:tcW w:w="175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27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0.1929</w:t>
            </w:r>
          </w:p>
        </w:tc>
        <w:tc>
          <w:tcPr>
            <w:tcW w:w="1327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0.0520</w:t>
            </w:r>
          </w:p>
        </w:tc>
        <w:tc>
          <w:tcPr>
            <w:tcW w:w="175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774BA9" w:rsidTr="00DD30A1">
        <w:trPr>
          <w:cantSplit/>
        </w:trPr>
        <w:tc>
          <w:tcPr>
            <w:tcW w:w="134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Putamen SBR</w:t>
            </w:r>
          </w:p>
        </w:tc>
        <w:tc>
          <w:tcPr>
            <w:tcW w:w="1741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2.09 (0.51; 0.67-3.70)</w:t>
            </w:r>
          </w:p>
        </w:tc>
        <w:tc>
          <w:tcPr>
            <w:tcW w:w="1741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2.03 (0.54; 0.89-3.23)</w:t>
            </w:r>
          </w:p>
        </w:tc>
        <w:tc>
          <w:tcPr>
            <w:tcW w:w="175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41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2.15 (0.54; 0.88-3.89)</w:t>
            </w:r>
          </w:p>
        </w:tc>
        <w:tc>
          <w:tcPr>
            <w:tcW w:w="175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27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0.0865</w:t>
            </w:r>
          </w:p>
        </w:tc>
        <w:tc>
          <w:tcPr>
            <w:tcW w:w="1327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0.0237</w:t>
            </w:r>
          </w:p>
        </w:tc>
        <w:tc>
          <w:tcPr>
            <w:tcW w:w="175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774BA9" w:rsidTr="00DD30A1">
        <w:trPr>
          <w:cantSplit/>
        </w:trPr>
        <w:tc>
          <w:tcPr>
            <w:tcW w:w="1349" w:type="dxa"/>
            <w:tcBorders>
              <w:top w:val="single" w:sz="6" w:space="0" w:color="2F2F2F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Striatum SBR</w:t>
            </w:r>
          </w:p>
        </w:tc>
        <w:tc>
          <w:tcPr>
            <w:tcW w:w="1741" w:type="dxa"/>
            <w:tcBorders>
              <w:top w:val="single" w:sz="6" w:space="0" w:color="2F2F2F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2.53 (0.52; 1.17-4.00)</w:t>
            </w:r>
          </w:p>
        </w:tc>
        <w:tc>
          <w:tcPr>
            <w:tcW w:w="1741" w:type="dxa"/>
            <w:tcBorders>
              <w:top w:val="single" w:sz="6" w:space="0" w:color="2F2F2F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2.46 (0.56; 1.12-3.85)</w:t>
            </w:r>
          </w:p>
        </w:tc>
        <w:tc>
          <w:tcPr>
            <w:tcW w:w="175" w:type="dxa"/>
            <w:tcBorders>
              <w:top w:val="single" w:sz="6" w:space="0" w:color="2F2F2F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41" w:type="dxa"/>
            <w:tcBorders>
              <w:top w:val="single" w:sz="6" w:space="0" w:color="2F2F2F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2.57 (0.55; 1.22-4.24)</w:t>
            </w:r>
          </w:p>
        </w:tc>
        <w:tc>
          <w:tcPr>
            <w:tcW w:w="175" w:type="dxa"/>
            <w:tcBorders>
              <w:top w:val="single" w:sz="6" w:space="0" w:color="2F2F2F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27" w:type="dxa"/>
            <w:tcBorders>
              <w:top w:val="single" w:sz="6" w:space="0" w:color="2F2F2F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0.0910</w:t>
            </w:r>
          </w:p>
        </w:tc>
        <w:tc>
          <w:tcPr>
            <w:tcW w:w="1327" w:type="dxa"/>
            <w:tcBorders>
              <w:top w:val="single" w:sz="6" w:space="0" w:color="2F2F2F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0.0292</w:t>
            </w:r>
          </w:p>
        </w:tc>
        <w:tc>
          <w:tcPr>
            <w:tcW w:w="175" w:type="dxa"/>
            <w:tcBorders>
              <w:top w:val="single" w:sz="6" w:space="0" w:color="2F2F2F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774BA9" w:rsidRDefault="00774BA9" w:rsidP="00774BA9">
      <w:pPr>
        <w:adjustRightInd w:val="0"/>
        <w:rPr>
          <w:rFonts w:ascii="Arial" w:hAnsi="Arial" w:cs="Arial"/>
          <w:color w:val="000000"/>
          <w:sz w:val="16"/>
          <w:szCs w:val="16"/>
        </w:rPr>
      </w:pPr>
    </w:p>
    <w:p w:rsidR="00774BA9" w:rsidRDefault="00774BA9" w:rsidP="00774BA9">
      <w:pPr>
        <w:adjustRightInd w:val="0"/>
        <w:jc w:val="center"/>
        <w:rPr>
          <w:sz w:val="24"/>
          <w:szCs w:val="24"/>
        </w:rPr>
      </w:pPr>
    </w:p>
    <w:p w:rsidR="00774BA9" w:rsidRDefault="00774BA9" w:rsidP="00774BA9">
      <w:pPr>
        <w:adjustRightInd w:val="0"/>
        <w:spacing w:before="10" w:after="10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 xml:space="preserve">Data are mean (SD; range). DAT imaging results were missing for 8 </w:t>
      </w:r>
      <w:r>
        <w:rPr>
          <w:rFonts w:ascii="Arial" w:hAnsi="Arial" w:cs="Arial"/>
          <w:i/>
          <w:iCs/>
          <w:color w:val="000000"/>
          <w:sz w:val="16"/>
          <w:szCs w:val="16"/>
        </w:rPr>
        <w:t>LRRK2</w:t>
      </w:r>
      <w:r>
        <w:rPr>
          <w:rFonts w:ascii="Arial" w:hAnsi="Arial" w:cs="Arial"/>
          <w:color w:val="000000"/>
          <w:sz w:val="16"/>
          <w:szCs w:val="16"/>
        </w:rPr>
        <w:t xml:space="preserve"> G2019S carriers at baseline, 18 </w:t>
      </w:r>
      <w:r>
        <w:rPr>
          <w:rFonts w:ascii="Arial" w:hAnsi="Arial" w:cs="Arial"/>
          <w:i/>
          <w:iCs/>
          <w:color w:val="000000"/>
          <w:sz w:val="16"/>
          <w:szCs w:val="16"/>
        </w:rPr>
        <w:t>LRRK2</w:t>
      </w:r>
      <w:r>
        <w:rPr>
          <w:rFonts w:ascii="Arial" w:hAnsi="Arial" w:cs="Arial"/>
          <w:color w:val="000000"/>
          <w:sz w:val="16"/>
          <w:szCs w:val="16"/>
        </w:rPr>
        <w:t xml:space="preserve"> G2019S carriers at year 2, and 1 healthy control at baseline. p values were found using one-sample t-tests assessing the percent change from baseline to year 2 among </w:t>
      </w:r>
      <w:r>
        <w:rPr>
          <w:rFonts w:ascii="Arial" w:hAnsi="Arial" w:cs="Arial"/>
          <w:i/>
          <w:iCs/>
          <w:color w:val="000000"/>
          <w:sz w:val="16"/>
          <w:szCs w:val="16"/>
        </w:rPr>
        <w:t>LRRK2</w:t>
      </w:r>
      <w:r>
        <w:rPr>
          <w:rFonts w:ascii="Arial" w:hAnsi="Arial" w:cs="Arial"/>
          <w:color w:val="000000"/>
          <w:sz w:val="16"/>
          <w:szCs w:val="16"/>
        </w:rPr>
        <w:t xml:space="preserve"> G2019S carriers (time effect) and inverse probability weighting methods comparing </w:t>
      </w:r>
      <w:r>
        <w:rPr>
          <w:rFonts w:ascii="Arial" w:hAnsi="Arial" w:cs="Arial"/>
          <w:i/>
          <w:iCs/>
          <w:color w:val="000000"/>
          <w:sz w:val="16"/>
          <w:szCs w:val="16"/>
        </w:rPr>
        <w:t>LRRK2</w:t>
      </w:r>
      <w:r>
        <w:rPr>
          <w:rFonts w:ascii="Arial" w:hAnsi="Arial" w:cs="Arial"/>
          <w:color w:val="000000"/>
          <w:sz w:val="16"/>
          <w:szCs w:val="16"/>
        </w:rPr>
        <w:t xml:space="preserve"> G2019S at year 2 vs healthy controls at baseline while adjusting for age and sex (group effect). Significance level for comparisons is p &lt; 0.0167 (after Bonferroni correction). DAT=dopamine transporter. SBR=specific binding ratio.</w:t>
      </w:r>
    </w:p>
    <w:p w:rsidR="00774BA9" w:rsidRDefault="00774BA9" w:rsidP="00774BA9">
      <w:pPr>
        <w:adjustRightInd w:val="0"/>
        <w:spacing w:before="10" w:after="10"/>
        <w:rPr>
          <w:rFonts w:ascii="Arial" w:hAnsi="Arial" w:cs="Arial"/>
          <w:b/>
          <w:bCs/>
          <w:color w:val="000000"/>
          <w:sz w:val="16"/>
          <w:szCs w:val="16"/>
        </w:rPr>
      </w:pPr>
    </w:p>
    <w:p w:rsidR="00774BA9" w:rsidRDefault="00774BA9" w:rsidP="00774BA9">
      <w:pPr>
        <w:adjustRightInd w:val="0"/>
        <w:spacing w:before="10" w:after="10"/>
        <w:rPr>
          <w:rFonts w:ascii="Arial" w:hAnsi="Arial" w:cs="Arial"/>
          <w:b/>
          <w:bCs/>
          <w:color w:val="000000"/>
          <w:sz w:val="16"/>
          <w:szCs w:val="16"/>
        </w:rPr>
      </w:pPr>
    </w:p>
    <w:p w:rsidR="00774BA9" w:rsidRDefault="00774BA9" w:rsidP="00774BA9">
      <w:pPr>
        <w:adjustRightInd w:val="0"/>
        <w:spacing w:before="10" w:after="10"/>
        <w:rPr>
          <w:rFonts w:ascii="Arial" w:hAnsi="Arial" w:cs="Arial"/>
          <w:b/>
          <w:bCs/>
          <w:color w:val="000000"/>
          <w:sz w:val="16"/>
          <w:szCs w:val="16"/>
        </w:rPr>
      </w:pPr>
    </w:p>
    <w:p w:rsidR="00774BA9" w:rsidRDefault="00774BA9" w:rsidP="00774BA9">
      <w:pPr>
        <w:adjustRightInd w:val="0"/>
        <w:spacing w:before="10" w:after="10"/>
        <w:rPr>
          <w:rFonts w:ascii="Arial" w:hAnsi="Arial" w:cs="Arial"/>
          <w:b/>
          <w:bCs/>
          <w:color w:val="000000"/>
          <w:sz w:val="16"/>
          <w:szCs w:val="16"/>
        </w:rPr>
      </w:pPr>
    </w:p>
    <w:p w:rsidR="00774BA9" w:rsidRDefault="00774BA9" w:rsidP="00774BA9">
      <w:pPr>
        <w:autoSpaceDE/>
        <w:autoSpaceDN/>
        <w:spacing w:after="160" w:line="259" w:lineRule="auto"/>
        <w:rPr>
          <w:rFonts w:ascii="Arial" w:hAnsi="Arial" w:cs="Arial"/>
          <w:b/>
          <w:bCs/>
          <w:color w:val="000000"/>
          <w:sz w:val="16"/>
          <w:szCs w:val="16"/>
        </w:rPr>
      </w:pPr>
      <w:r>
        <w:rPr>
          <w:rFonts w:ascii="Arial" w:hAnsi="Arial" w:cs="Arial"/>
          <w:b/>
          <w:bCs/>
          <w:color w:val="000000"/>
          <w:sz w:val="16"/>
          <w:szCs w:val="16"/>
        </w:rPr>
        <w:br w:type="page"/>
      </w:r>
    </w:p>
    <w:p w:rsidR="00774BA9" w:rsidRPr="00CC2910" w:rsidRDefault="00774BA9" w:rsidP="00774BA9">
      <w:pPr>
        <w:adjustRightInd w:val="0"/>
        <w:spacing w:before="10" w:after="10"/>
        <w:rPr>
          <w:rFonts w:ascii="Arial" w:hAnsi="Arial" w:cs="Arial"/>
          <w:b/>
          <w:bCs/>
          <w:color w:val="000000"/>
          <w:sz w:val="16"/>
          <w:szCs w:val="16"/>
        </w:rPr>
      </w:pPr>
      <w:r w:rsidRPr="00D11119">
        <w:rPr>
          <w:rFonts w:ascii="Arial" w:hAnsi="Arial" w:cs="Arial"/>
          <w:b/>
          <w:bCs/>
          <w:color w:val="000000"/>
          <w:sz w:val="16"/>
          <w:szCs w:val="16"/>
        </w:rPr>
        <w:lastRenderedPageBreak/>
        <w:t xml:space="preserve">Supplementary Table </w:t>
      </w:r>
      <w:r>
        <w:rPr>
          <w:rFonts w:ascii="Arial" w:hAnsi="Arial" w:cs="Arial"/>
          <w:b/>
          <w:bCs/>
          <w:color w:val="000000"/>
          <w:sz w:val="16"/>
          <w:szCs w:val="16"/>
        </w:rPr>
        <w:t>3</w:t>
      </w:r>
      <w:r w:rsidRPr="00D11119">
        <w:rPr>
          <w:rFonts w:ascii="Arial" w:hAnsi="Arial" w:cs="Arial"/>
          <w:b/>
          <w:bCs/>
          <w:color w:val="000000"/>
          <w:sz w:val="16"/>
          <w:szCs w:val="16"/>
        </w:rPr>
        <w:t xml:space="preserve">. </w:t>
      </w:r>
      <w:r w:rsidRPr="00CC2910">
        <w:rPr>
          <w:rFonts w:ascii="Arial" w:hAnsi="Arial" w:cs="Arial"/>
          <w:b/>
          <w:bCs/>
          <w:color w:val="000000"/>
          <w:sz w:val="16"/>
          <w:szCs w:val="16"/>
        </w:rPr>
        <w:t xml:space="preserve">Change in </w:t>
      </w:r>
      <w:r>
        <w:rPr>
          <w:rFonts w:ascii="Arial" w:hAnsi="Arial" w:cs="Arial"/>
          <w:b/>
          <w:bCs/>
          <w:color w:val="000000"/>
          <w:sz w:val="16"/>
          <w:szCs w:val="16"/>
        </w:rPr>
        <w:t xml:space="preserve">urine </w:t>
      </w:r>
      <w:r w:rsidRPr="005B7CB7">
        <w:rPr>
          <w:rFonts w:ascii="Arial" w:hAnsi="Arial" w:cs="Arial"/>
          <w:b/>
          <w:bCs/>
          <w:color w:val="000000"/>
          <w:sz w:val="16"/>
          <w:szCs w:val="16"/>
        </w:rPr>
        <w:t>bis(monoacylglycerol)phosphate</w:t>
      </w:r>
      <w:r>
        <w:rPr>
          <w:rFonts w:ascii="Arial" w:hAnsi="Arial" w:cs="Arial"/>
          <w:b/>
          <w:bCs/>
          <w:color w:val="000000"/>
          <w:sz w:val="16"/>
          <w:szCs w:val="16"/>
        </w:rPr>
        <w:t xml:space="preserve"> among </w:t>
      </w:r>
      <w:r w:rsidRPr="005B7CB7">
        <w:rPr>
          <w:rFonts w:ascii="Arial" w:hAnsi="Arial" w:cs="Arial"/>
          <w:b/>
          <w:bCs/>
          <w:i/>
          <w:iCs/>
          <w:color w:val="000000"/>
          <w:sz w:val="16"/>
          <w:szCs w:val="16"/>
        </w:rPr>
        <w:t>LRRK2</w:t>
      </w:r>
      <w:r w:rsidRPr="00CC2910">
        <w:rPr>
          <w:rFonts w:ascii="Arial" w:hAnsi="Arial" w:cs="Arial"/>
          <w:b/>
          <w:bCs/>
          <w:color w:val="000000"/>
          <w:sz w:val="16"/>
          <w:szCs w:val="16"/>
        </w:rPr>
        <w:t xml:space="preserve"> G2019S </w:t>
      </w:r>
      <w:r>
        <w:rPr>
          <w:rFonts w:ascii="Arial" w:hAnsi="Arial" w:cs="Arial"/>
          <w:b/>
          <w:bCs/>
          <w:color w:val="000000"/>
          <w:sz w:val="16"/>
          <w:szCs w:val="16"/>
        </w:rPr>
        <w:t>c</w:t>
      </w:r>
      <w:r w:rsidRPr="00CC2910">
        <w:rPr>
          <w:rFonts w:ascii="Arial" w:hAnsi="Arial" w:cs="Arial"/>
          <w:b/>
          <w:bCs/>
          <w:color w:val="000000"/>
          <w:sz w:val="16"/>
          <w:szCs w:val="16"/>
        </w:rPr>
        <w:t>arriers</w:t>
      </w:r>
    </w:p>
    <w:p w:rsidR="00774BA9" w:rsidRDefault="00774BA9" w:rsidP="00774BA9">
      <w:pPr>
        <w:adjustRightInd w:val="0"/>
        <w:spacing w:before="10" w:after="10"/>
        <w:rPr>
          <w:sz w:val="24"/>
          <w:szCs w:val="24"/>
        </w:rPr>
      </w:pPr>
      <w:r>
        <w:rPr>
          <w:sz w:val="24"/>
          <w:szCs w:val="24"/>
        </w:rPr>
        <w:tab/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69"/>
        <w:gridCol w:w="1455"/>
        <w:gridCol w:w="1455"/>
        <w:gridCol w:w="1455"/>
        <w:gridCol w:w="180"/>
        <w:gridCol w:w="1326"/>
      </w:tblGrid>
      <w:tr w:rsidR="00774BA9" w:rsidTr="00DD30A1">
        <w:trPr>
          <w:cantSplit/>
          <w:tblHeader/>
        </w:trPr>
        <w:tc>
          <w:tcPr>
            <w:tcW w:w="2769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  <w:vAlign w:val="bottom"/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br w:type="page"/>
            </w:r>
          </w:p>
        </w:tc>
        <w:tc>
          <w:tcPr>
            <w:tcW w:w="4365" w:type="dxa"/>
            <w:gridSpan w:val="3"/>
            <w:tcBorders>
              <w:top w:val="single" w:sz="6" w:space="0" w:color="000000"/>
              <w:left w:val="nil"/>
              <w:bottom w:val="single" w:sz="7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  <w:vAlign w:val="bottom"/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546458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LRRK2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G2019S carriers</w:t>
            </w:r>
          </w:p>
        </w:tc>
        <w:tc>
          <w:tcPr>
            <w:tcW w:w="180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  <w:vAlign w:val="bottom"/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26" w:type="dxa"/>
            <w:tcBorders>
              <w:top w:val="single" w:sz="6" w:space="0" w:color="000000"/>
              <w:left w:val="nil"/>
              <w:bottom w:val="single" w:sz="7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  <w:vAlign w:val="bottom"/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p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value</w:t>
            </w:r>
          </w:p>
        </w:tc>
      </w:tr>
      <w:tr w:rsidR="00774BA9" w:rsidTr="00DD30A1">
        <w:trPr>
          <w:cantSplit/>
          <w:tblHeader/>
        </w:trPr>
        <w:tc>
          <w:tcPr>
            <w:tcW w:w="2769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  <w:vAlign w:val="bottom"/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  <w:vAlign w:val="bottom"/>
          </w:tcPr>
          <w:p w:rsidR="00774BA9" w:rsidRPr="005B7CB7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B7CB7">
              <w:rPr>
                <w:rFonts w:ascii="Arial" w:hAnsi="Arial" w:cs="Arial"/>
                <w:color w:val="000000"/>
                <w:sz w:val="16"/>
                <w:szCs w:val="16"/>
              </w:rPr>
              <w:t>Baseline</w:t>
            </w:r>
            <w:r w:rsidRPr="005B7CB7">
              <w:rPr>
                <w:rFonts w:ascii="Arial" w:hAnsi="Arial" w:cs="Arial"/>
                <w:color w:val="000000"/>
                <w:sz w:val="16"/>
                <w:szCs w:val="16"/>
              </w:rPr>
              <w:br/>
              <w:t>(N = 176)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  <w:vAlign w:val="bottom"/>
          </w:tcPr>
          <w:p w:rsidR="00774BA9" w:rsidRPr="005B7CB7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B7CB7">
              <w:rPr>
                <w:rFonts w:ascii="Arial" w:hAnsi="Arial" w:cs="Arial"/>
                <w:color w:val="000000"/>
                <w:sz w:val="16"/>
                <w:szCs w:val="16"/>
              </w:rPr>
              <w:t>Year 1</w:t>
            </w:r>
            <w:r w:rsidRPr="005B7CB7">
              <w:rPr>
                <w:rFonts w:ascii="Arial" w:hAnsi="Arial" w:cs="Arial"/>
                <w:color w:val="000000"/>
                <w:sz w:val="16"/>
                <w:szCs w:val="16"/>
              </w:rPr>
              <w:br/>
              <w:t>(N = 172)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  <w:vAlign w:val="bottom"/>
          </w:tcPr>
          <w:p w:rsidR="00774BA9" w:rsidRPr="005B7CB7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B7CB7">
              <w:rPr>
                <w:rFonts w:ascii="Arial" w:hAnsi="Arial" w:cs="Arial"/>
                <w:color w:val="000000"/>
                <w:sz w:val="16"/>
                <w:szCs w:val="16"/>
              </w:rPr>
              <w:t>Year 2</w:t>
            </w:r>
            <w:r w:rsidRPr="005B7CB7">
              <w:rPr>
                <w:rFonts w:ascii="Arial" w:hAnsi="Arial" w:cs="Arial"/>
                <w:color w:val="000000"/>
                <w:sz w:val="16"/>
                <w:szCs w:val="16"/>
              </w:rPr>
              <w:br/>
              <w:t>(N = 140)</w:t>
            </w:r>
          </w:p>
        </w:tc>
        <w:tc>
          <w:tcPr>
            <w:tcW w:w="180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  <w:vAlign w:val="bottom"/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  <w:vAlign w:val="bottom"/>
          </w:tcPr>
          <w:p w:rsidR="00774BA9" w:rsidRPr="005B7CB7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B7CB7">
              <w:rPr>
                <w:rFonts w:ascii="Arial" w:hAnsi="Arial" w:cs="Arial"/>
                <w:color w:val="000000"/>
                <w:sz w:val="16"/>
                <w:szCs w:val="16"/>
              </w:rPr>
              <w:t>Time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effect</w:t>
            </w:r>
          </w:p>
        </w:tc>
      </w:tr>
      <w:tr w:rsidR="00774BA9" w:rsidTr="00DD30A1">
        <w:trPr>
          <w:cantSplit/>
        </w:trPr>
        <w:tc>
          <w:tcPr>
            <w:tcW w:w="276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Total di-18:1-BMP</w:t>
            </w:r>
          </w:p>
        </w:tc>
        <w:tc>
          <w:tcPr>
            <w:tcW w:w="1455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17.5 (13.4)</w:t>
            </w:r>
          </w:p>
        </w:tc>
        <w:tc>
          <w:tcPr>
            <w:tcW w:w="1455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18.6 (17.0)</w:t>
            </w:r>
          </w:p>
        </w:tc>
        <w:tc>
          <w:tcPr>
            <w:tcW w:w="1455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20.3 (17.7)</w:t>
            </w:r>
          </w:p>
        </w:tc>
        <w:tc>
          <w:tcPr>
            <w:tcW w:w="180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26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0.1523</w:t>
            </w:r>
          </w:p>
        </w:tc>
      </w:tr>
      <w:tr w:rsidR="00774BA9" w:rsidTr="00DD30A1">
        <w:trPr>
          <w:cantSplit/>
        </w:trPr>
        <w:tc>
          <w:tcPr>
            <w:tcW w:w="27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88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Median (min, max)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14.2 (0.9, 72.0)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13.0 (2.3, 99.0)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14.8 (1.7, 76.5)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774BA9" w:rsidTr="00DD30A1">
        <w:trPr>
          <w:cantSplit/>
        </w:trPr>
        <w:tc>
          <w:tcPr>
            <w:tcW w:w="276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Total di-22:6-BMP</w:t>
            </w:r>
          </w:p>
        </w:tc>
        <w:tc>
          <w:tcPr>
            <w:tcW w:w="1455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77.3 (46.5)</w:t>
            </w:r>
          </w:p>
        </w:tc>
        <w:tc>
          <w:tcPr>
            <w:tcW w:w="1455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81.0 (52.8)</w:t>
            </w:r>
          </w:p>
        </w:tc>
        <w:tc>
          <w:tcPr>
            <w:tcW w:w="1455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85.5 (55.2)</w:t>
            </w:r>
          </w:p>
        </w:tc>
        <w:tc>
          <w:tcPr>
            <w:tcW w:w="180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26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0.3304</w:t>
            </w:r>
          </w:p>
        </w:tc>
      </w:tr>
      <w:tr w:rsidR="00774BA9" w:rsidTr="00DD30A1">
        <w:trPr>
          <w:cantSplit/>
        </w:trPr>
        <w:tc>
          <w:tcPr>
            <w:tcW w:w="27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88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Median (min, max)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63.8 (10.6, 245.6)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67.2 (7.5, 289.6)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72.6 (15.8, 320.8)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774BA9" w:rsidTr="00DD30A1">
        <w:trPr>
          <w:cantSplit/>
        </w:trPr>
        <w:tc>
          <w:tcPr>
            <w:tcW w:w="276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2,2'-di-22:6 BMP</w:t>
            </w:r>
          </w:p>
        </w:tc>
        <w:tc>
          <w:tcPr>
            <w:tcW w:w="1455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61.3 (40.3)</w:t>
            </w:r>
          </w:p>
        </w:tc>
        <w:tc>
          <w:tcPr>
            <w:tcW w:w="1455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61.9 (42.5)</w:t>
            </w:r>
          </w:p>
        </w:tc>
        <w:tc>
          <w:tcPr>
            <w:tcW w:w="1455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65.9 (42.9)</w:t>
            </w:r>
          </w:p>
        </w:tc>
        <w:tc>
          <w:tcPr>
            <w:tcW w:w="180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26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0.8168</w:t>
            </w:r>
          </w:p>
        </w:tc>
      </w:tr>
      <w:tr w:rsidR="00774BA9" w:rsidTr="00DD30A1">
        <w:trPr>
          <w:cantSplit/>
        </w:trPr>
        <w:tc>
          <w:tcPr>
            <w:tcW w:w="27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88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Median (min, max)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49.6 (8.1, 248.2)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47.0 (2.2, 244.2)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57.1 (12.8, 252.8)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774BA9" w:rsidTr="00DD30A1">
        <w:trPr>
          <w:cantSplit/>
        </w:trPr>
        <w:tc>
          <w:tcPr>
            <w:tcW w:w="2769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288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Missing BMP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54</w:t>
            </w:r>
          </w:p>
        </w:tc>
        <w:tc>
          <w:tcPr>
            <w:tcW w:w="180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774BA9" w:rsidRDefault="00774BA9" w:rsidP="00774BA9">
      <w:pPr>
        <w:adjustRightInd w:val="0"/>
        <w:rPr>
          <w:rFonts w:ascii="Arial" w:hAnsi="Arial" w:cs="Arial"/>
          <w:color w:val="000000"/>
          <w:sz w:val="16"/>
          <w:szCs w:val="16"/>
        </w:rPr>
      </w:pPr>
    </w:p>
    <w:p w:rsidR="00774BA9" w:rsidRDefault="00774BA9" w:rsidP="00774BA9">
      <w:pPr>
        <w:adjustRightInd w:val="0"/>
        <w:jc w:val="center"/>
        <w:rPr>
          <w:sz w:val="24"/>
          <w:szCs w:val="24"/>
        </w:rPr>
      </w:pPr>
    </w:p>
    <w:p w:rsidR="00774BA9" w:rsidRDefault="00774BA9" w:rsidP="00774BA9">
      <w:pPr>
        <w:adjustRightInd w:val="0"/>
        <w:spacing w:before="10" w:after="10"/>
        <w:rPr>
          <w:sz w:val="24"/>
          <w:szCs w:val="24"/>
        </w:rPr>
      </w:pPr>
      <w:r>
        <w:rPr>
          <w:rFonts w:ascii="Arial" w:hAnsi="Arial" w:cs="Arial"/>
          <w:color w:val="000000"/>
          <w:sz w:val="16"/>
          <w:szCs w:val="16"/>
        </w:rPr>
        <w:t>Data are mean (SD). p values were found using generalized estimating equations modeling the change from baseline at follow-up. Significance levels for comparisons are p &lt; 0.0167 (after Bonferroni correction). BMP=</w:t>
      </w:r>
      <w:r w:rsidRPr="008B4D70">
        <w:t xml:space="preserve"> </w:t>
      </w:r>
      <w:r w:rsidRPr="008B4D70">
        <w:rPr>
          <w:rFonts w:ascii="Arial" w:hAnsi="Arial" w:cs="Arial"/>
          <w:color w:val="000000"/>
          <w:sz w:val="16"/>
          <w:szCs w:val="16"/>
        </w:rPr>
        <w:t>bis(monoacylglycerol)phosphate</w:t>
      </w:r>
      <w:r>
        <w:rPr>
          <w:rFonts w:ascii="Arial" w:hAnsi="Arial" w:cs="Arial"/>
          <w:color w:val="000000"/>
          <w:sz w:val="16"/>
          <w:szCs w:val="16"/>
        </w:rPr>
        <w:t>.</w:t>
      </w:r>
    </w:p>
    <w:p w:rsidR="00774BA9" w:rsidRDefault="00774BA9" w:rsidP="00774BA9">
      <w:pPr>
        <w:autoSpaceDE/>
        <w:autoSpaceDN/>
        <w:spacing w:after="160" w:line="259" w:lineRule="auto"/>
        <w:rPr>
          <w:rFonts w:ascii="Arial" w:hAnsi="Arial" w:cs="Arial"/>
          <w:b/>
          <w:bCs/>
          <w:color w:val="000000"/>
          <w:sz w:val="16"/>
          <w:szCs w:val="16"/>
        </w:rPr>
      </w:pPr>
      <w:r>
        <w:rPr>
          <w:rFonts w:ascii="Arial" w:hAnsi="Arial" w:cs="Arial"/>
          <w:b/>
          <w:bCs/>
          <w:color w:val="000000"/>
          <w:sz w:val="16"/>
          <w:szCs w:val="16"/>
        </w:rPr>
        <w:br w:type="page"/>
      </w:r>
    </w:p>
    <w:p w:rsidR="00774BA9" w:rsidRDefault="00774BA9" w:rsidP="00774BA9">
      <w:pPr>
        <w:adjustRightInd w:val="0"/>
        <w:spacing w:before="10" w:after="10"/>
        <w:rPr>
          <w:rFonts w:ascii="Arial" w:hAnsi="Arial" w:cs="Arial"/>
          <w:b/>
          <w:bCs/>
          <w:color w:val="000000"/>
          <w:sz w:val="16"/>
          <w:szCs w:val="16"/>
        </w:rPr>
      </w:pPr>
      <w:r>
        <w:rPr>
          <w:rFonts w:ascii="Arial" w:hAnsi="Arial" w:cs="Arial"/>
          <w:b/>
          <w:bCs/>
          <w:color w:val="000000"/>
          <w:sz w:val="16"/>
          <w:szCs w:val="16"/>
        </w:rPr>
        <w:lastRenderedPageBreak/>
        <w:t xml:space="preserve">Supplementary Table 4. Change in clinical characteristics among </w:t>
      </w:r>
      <w:r>
        <w:rPr>
          <w:rFonts w:ascii="Arial" w:hAnsi="Arial" w:cs="Arial"/>
          <w:b/>
          <w:bCs/>
          <w:i/>
          <w:iCs/>
          <w:color w:val="000000"/>
          <w:sz w:val="16"/>
          <w:szCs w:val="16"/>
        </w:rPr>
        <w:t>LRRK2</w:t>
      </w:r>
      <w:r>
        <w:rPr>
          <w:rFonts w:ascii="Arial" w:hAnsi="Arial" w:cs="Arial"/>
          <w:b/>
          <w:bCs/>
          <w:color w:val="000000"/>
          <w:sz w:val="16"/>
          <w:szCs w:val="16"/>
        </w:rPr>
        <w:t xml:space="preserve"> G2019S carriers who phenoconverted </w:t>
      </w:r>
      <w:r>
        <w:rPr>
          <w:rFonts w:ascii="Arial" w:hAnsi="Arial" w:cs="Arial"/>
          <w:b/>
          <w:bCs/>
          <w:i/>
          <w:iCs/>
          <w:color w:val="000000"/>
          <w:sz w:val="16"/>
          <w:szCs w:val="16"/>
        </w:rPr>
        <w:t>vs</w:t>
      </w:r>
      <w:r>
        <w:rPr>
          <w:rFonts w:ascii="Arial" w:hAnsi="Arial" w:cs="Arial"/>
          <w:b/>
          <w:bCs/>
          <w:color w:val="000000"/>
          <w:sz w:val="16"/>
          <w:szCs w:val="16"/>
        </w:rPr>
        <w:t xml:space="preserve"> those who did not</w:t>
      </w:r>
    </w:p>
    <w:p w:rsidR="00774BA9" w:rsidRDefault="00774BA9" w:rsidP="00774BA9">
      <w:pPr>
        <w:adjustRightInd w:val="0"/>
        <w:rPr>
          <w:rFonts w:ascii="Arial" w:hAnsi="Arial" w:cs="Arial"/>
          <w:b/>
          <w:bCs/>
          <w:color w:val="000000"/>
          <w:sz w:val="16"/>
          <w:szCs w:val="16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312"/>
        <w:gridCol w:w="1379"/>
        <w:gridCol w:w="1379"/>
        <w:gridCol w:w="1379"/>
        <w:gridCol w:w="180"/>
        <w:gridCol w:w="1379"/>
        <w:gridCol w:w="1379"/>
        <w:gridCol w:w="1379"/>
      </w:tblGrid>
      <w:tr w:rsidR="00774BA9" w:rsidTr="00DD30A1">
        <w:trPr>
          <w:cantSplit/>
          <w:tblHeader/>
        </w:trPr>
        <w:tc>
          <w:tcPr>
            <w:tcW w:w="3312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  <w:vAlign w:val="bottom"/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37" w:type="dxa"/>
            <w:gridSpan w:val="3"/>
            <w:tcBorders>
              <w:top w:val="single" w:sz="6" w:space="0" w:color="000000"/>
              <w:left w:val="nil"/>
              <w:bottom w:val="single" w:sz="7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  <w:vAlign w:val="bottom"/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LRRK2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G2019S carriers: phenoconverters</w:t>
            </w:r>
          </w:p>
        </w:tc>
        <w:tc>
          <w:tcPr>
            <w:tcW w:w="180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  <w:vAlign w:val="bottom"/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37" w:type="dxa"/>
            <w:gridSpan w:val="3"/>
            <w:tcBorders>
              <w:top w:val="single" w:sz="6" w:space="0" w:color="000000"/>
              <w:left w:val="nil"/>
              <w:bottom w:val="single" w:sz="7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  <w:vAlign w:val="bottom"/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LRRK2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G2019S carriers: non-converters</w:t>
            </w:r>
          </w:p>
        </w:tc>
      </w:tr>
      <w:tr w:rsidR="00774BA9" w:rsidTr="00DD30A1">
        <w:trPr>
          <w:cantSplit/>
          <w:tblHeader/>
        </w:trPr>
        <w:tc>
          <w:tcPr>
            <w:tcW w:w="3312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  <w:vAlign w:val="bottom"/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  <w:vAlign w:val="bottom"/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Baseline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(N = 5)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  <w:vAlign w:val="bottom"/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Year 1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(N = 5)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  <w:vAlign w:val="bottom"/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Year 2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(N = 3)</w:t>
            </w:r>
          </w:p>
        </w:tc>
        <w:tc>
          <w:tcPr>
            <w:tcW w:w="180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  <w:vAlign w:val="bottom"/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  <w:vAlign w:val="bottom"/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Baseline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(N = 171)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  <w:vAlign w:val="bottom"/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Year 1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(N = 167)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  <w:vAlign w:val="bottom"/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Year 2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(N = 137)</w:t>
            </w:r>
          </w:p>
        </w:tc>
      </w:tr>
      <w:tr w:rsidR="00774BA9" w:rsidTr="00DD30A1">
        <w:trPr>
          <w:cantSplit/>
        </w:trPr>
        <w:tc>
          <w:tcPr>
            <w:tcW w:w="3312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MDS-UPDRS total score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22.0 (12.7)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24.2 (11.7)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35.0 (19.3)</w:t>
            </w:r>
          </w:p>
        </w:tc>
        <w:tc>
          <w:tcPr>
            <w:tcW w:w="180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8.5 (6.9)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9.1 (7.9)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8.8 (8.1)</w:t>
            </w:r>
          </w:p>
        </w:tc>
      </w:tr>
      <w:tr w:rsidR="00774BA9" w:rsidTr="00DD30A1">
        <w:trPr>
          <w:cantSplit/>
        </w:trPr>
        <w:tc>
          <w:tcPr>
            <w:tcW w:w="3312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MDS-UPDRS Part I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6.4 (5.5)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6.0 (2.9)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7.7 (2.5)</w:t>
            </w:r>
          </w:p>
        </w:tc>
        <w:tc>
          <w:tcPr>
            <w:tcW w:w="180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4.7 (3.8)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 (4.2)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4.7 (4.1)</w:t>
            </w:r>
          </w:p>
        </w:tc>
      </w:tr>
      <w:tr w:rsidR="00774BA9" w:rsidTr="00DD30A1">
        <w:trPr>
          <w:cantSplit/>
        </w:trPr>
        <w:tc>
          <w:tcPr>
            <w:tcW w:w="3312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MDS-UPDRS Part II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5.4 (3.4)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5.2 (3.2)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6.0 (2.6)</w:t>
            </w:r>
          </w:p>
        </w:tc>
        <w:tc>
          <w:tcPr>
            <w:tcW w:w="180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1.0 (2.1)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1.3 (2.6)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1.3 (2.5)</w:t>
            </w:r>
          </w:p>
        </w:tc>
      </w:tr>
      <w:tr w:rsidR="00774BA9" w:rsidTr="00DD30A1">
        <w:trPr>
          <w:cantSplit/>
        </w:trPr>
        <w:tc>
          <w:tcPr>
            <w:tcW w:w="3312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MDS-UPDRS Part III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10.2 (6.3)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13.0 (7.2)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21.3 (15.8)</w:t>
            </w:r>
          </w:p>
        </w:tc>
        <w:tc>
          <w:tcPr>
            <w:tcW w:w="180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2.9 (3.8)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2.9 (3.6)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2.8 (3.7)</w:t>
            </w:r>
          </w:p>
        </w:tc>
      </w:tr>
      <w:tr w:rsidR="00774BA9" w:rsidTr="00DD30A1">
        <w:trPr>
          <w:cantSplit/>
        </w:trPr>
        <w:tc>
          <w:tcPr>
            <w:tcW w:w="3312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MOCA total score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, mean (SD; range)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25.5 (2.6; 23-29)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25.5 (1.0; 25-27)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25.7 (0.6; 25-26)</w:t>
            </w:r>
          </w:p>
        </w:tc>
        <w:tc>
          <w:tcPr>
            <w:tcW w:w="180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26.8 (2.4; 18-30)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27.1 (2.5; 16-30)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26.9 (2.4; 20-30)</w:t>
            </w:r>
          </w:p>
        </w:tc>
      </w:tr>
      <w:tr w:rsidR="00774BA9" w:rsidTr="00DD30A1">
        <w:trPr>
          <w:cantSplit/>
        </w:trPr>
        <w:tc>
          <w:tcPr>
            <w:tcW w:w="3312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GDS-15 total score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1.4 (1.7)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1.2 (1.3)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0.7 (1.2)</w:t>
            </w:r>
          </w:p>
        </w:tc>
        <w:tc>
          <w:tcPr>
            <w:tcW w:w="180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1.7 (2.4)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1.5 (2.1)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1.7 (2.3)</w:t>
            </w:r>
          </w:p>
        </w:tc>
      </w:tr>
      <w:tr w:rsidR="00774BA9" w:rsidTr="00DD30A1">
        <w:trPr>
          <w:cantSplit/>
        </w:trPr>
        <w:tc>
          <w:tcPr>
            <w:tcW w:w="3312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SCOPA-AUT total score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10.6 (7.7)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10.4 (4.7)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12.3 (2.5)</w:t>
            </w:r>
          </w:p>
        </w:tc>
        <w:tc>
          <w:tcPr>
            <w:tcW w:w="180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8.4 (6.0)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8.7 (6.6)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8.5 (6.3)</w:t>
            </w:r>
          </w:p>
        </w:tc>
      </w:tr>
      <w:tr w:rsidR="00774BA9" w:rsidTr="00DD30A1">
        <w:trPr>
          <w:cantSplit/>
        </w:trPr>
        <w:tc>
          <w:tcPr>
            <w:tcW w:w="3312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Orthostatic s</w:t>
            </w:r>
            <w:r w:rsidRPr="00FE3EC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ystolic 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blood pressure drop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-2.0 (9.9)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1.0 (12.7)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-2.0 (7.8)</w:t>
            </w:r>
          </w:p>
        </w:tc>
        <w:tc>
          <w:tcPr>
            <w:tcW w:w="180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0.2 (11.0)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-0.9 (11.1)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-0.4 (10.7)</w:t>
            </w:r>
          </w:p>
        </w:tc>
      </w:tr>
      <w:tr w:rsidR="00774BA9" w:rsidTr="00DD30A1">
        <w:trPr>
          <w:cantSplit/>
        </w:trPr>
        <w:tc>
          <w:tcPr>
            <w:tcW w:w="3312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Orthostatic d</w:t>
            </w:r>
            <w:r w:rsidRPr="00FE3EC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iastolic 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blood pressure drop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-0.6 (5.0)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-5.2 (4.3)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-4.7 (5.5)</w:t>
            </w:r>
          </w:p>
        </w:tc>
        <w:tc>
          <w:tcPr>
            <w:tcW w:w="180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-3.8 (7.7)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-4.6 (7.7)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-3.2 (7.6)</w:t>
            </w:r>
          </w:p>
        </w:tc>
      </w:tr>
      <w:tr w:rsidR="00774BA9" w:rsidTr="00DD30A1">
        <w:trPr>
          <w:cantSplit/>
        </w:trPr>
        <w:tc>
          <w:tcPr>
            <w:tcW w:w="3312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State trait anxiety score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64.6 (21.0)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58.8 (12.8)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58.7 (9.0)</w:t>
            </w:r>
          </w:p>
        </w:tc>
        <w:tc>
          <w:tcPr>
            <w:tcW w:w="180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61.3 (16.6)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60.2 (16.7)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60.5 (16.9)</w:t>
            </w:r>
          </w:p>
        </w:tc>
      </w:tr>
      <w:tr w:rsidR="00774BA9" w:rsidTr="00DD30A1">
        <w:trPr>
          <w:cantSplit/>
        </w:trPr>
        <w:tc>
          <w:tcPr>
            <w:tcW w:w="3312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QUIP (≥ 1 disorder)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 (0%)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 (0%)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 (33%)</w:t>
            </w:r>
          </w:p>
        </w:tc>
        <w:tc>
          <w:tcPr>
            <w:tcW w:w="180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46 (27%)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 (28%)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 (32%)</w:t>
            </w:r>
          </w:p>
        </w:tc>
      </w:tr>
      <w:tr w:rsidR="00774BA9" w:rsidTr="00DD30A1">
        <w:trPr>
          <w:cantSplit/>
        </w:trPr>
        <w:tc>
          <w:tcPr>
            <w:tcW w:w="3312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Epworth sleepiness scale (≥ 10)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 (0%)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 (0%)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 (0%)</w:t>
            </w:r>
          </w:p>
        </w:tc>
        <w:tc>
          <w:tcPr>
            <w:tcW w:w="180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 (11%)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 (10%)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 (11%)</w:t>
            </w:r>
          </w:p>
        </w:tc>
      </w:tr>
      <w:tr w:rsidR="00774BA9" w:rsidTr="00DD30A1">
        <w:trPr>
          <w:cantSplit/>
        </w:trPr>
        <w:tc>
          <w:tcPr>
            <w:tcW w:w="3312" w:type="dxa"/>
            <w:tcBorders>
              <w:top w:val="single" w:sz="6" w:space="0" w:color="2F2F2F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RBDSQ (≥ 5)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 (0%)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 (20%)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 (0%)</w:t>
            </w:r>
          </w:p>
        </w:tc>
        <w:tc>
          <w:tcPr>
            <w:tcW w:w="180" w:type="dxa"/>
            <w:tcBorders>
              <w:top w:val="single" w:sz="6" w:space="0" w:color="2F2F2F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38 (23%)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 (21%)</w:t>
            </w:r>
          </w:p>
        </w:tc>
        <w:tc>
          <w:tcPr>
            <w:tcW w:w="1379" w:type="dxa"/>
            <w:tcBorders>
              <w:top w:val="single" w:sz="6" w:space="0" w:color="2F2F2F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80" w:after="8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 (20%)</w:t>
            </w:r>
          </w:p>
        </w:tc>
      </w:tr>
    </w:tbl>
    <w:p w:rsidR="00774BA9" w:rsidRDefault="00774BA9" w:rsidP="00774BA9">
      <w:pPr>
        <w:adjustRightInd w:val="0"/>
        <w:rPr>
          <w:rFonts w:ascii="Arial" w:hAnsi="Arial" w:cs="Arial"/>
          <w:color w:val="000000"/>
          <w:sz w:val="16"/>
          <w:szCs w:val="16"/>
        </w:rPr>
      </w:pPr>
    </w:p>
    <w:p w:rsidR="00774BA9" w:rsidRDefault="00774BA9" w:rsidP="00774BA9">
      <w:pPr>
        <w:adjustRightInd w:val="0"/>
        <w:jc w:val="center"/>
        <w:rPr>
          <w:sz w:val="24"/>
          <w:szCs w:val="24"/>
        </w:rPr>
      </w:pPr>
    </w:p>
    <w:p w:rsidR="00774BA9" w:rsidRDefault="00774BA9" w:rsidP="00774BA9">
      <w:pPr>
        <w:adjustRightInd w:val="0"/>
        <w:spacing w:before="10" w:after="10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>Data are mean (SD) or n (%) unless otherwise stated. Among phenoconverters, there were no missing values except for the MOCA (one missing value at baseline and year 1); among non-converters, five or fewer participants missed any one assessment except for at year 1 (six missed the MDS-UPDRS total score and RBDSQ) and year 2 (10 missed the SCOPA-AUT; six missed the STAI). MDS-UPDRS=Movement Disorder Society Unified Parkinson’s Disease Rating Scale. MOCA=Montreal Cognitive Assessment. GDS-15=Geriatric Depression Scale (15-item). SCOPA-AUT=Scales for Outcomes in Parkinson’s Disease-Autonomic. QUIP=Questionnaire for Impulsive-Compulsive Disorders in Parkinson’s Disease. RBDSQ=REM Sleep Behavior Disorder Screening Questionnaire.</w:t>
      </w:r>
    </w:p>
    <w:p w:rsidR="00774BA9" w:rsidRDefault="00774BA9" w:rsidP="00774BA9">
      <w:pPr>
        <w:adjustRightInd w:val="0"/>
        <w:spacing w:before="10" w:after="10"/>
        <w:rPr>
          <w:rFonts w:ascii="Arial" w:hAnsi="Arial" w:cs="Arial"/>
          <w:color w:val="000000"/>
          <w:sz w:val="16"/>
          <w:szCs w:val="16"/>
        </w:rPr>
      </w:pPr>
    </w:p>
    <w:p w:rsidR="00774BA9" w:rsidRDefault="00774BA9" w:rsidP="00774BA9">
      <w:pPr>
        <w:adjustRightInd w:val="0"/>
        <w:spacing w:before="10" w:after="10"/>
        <w:rPr>
          <w:rFonts w:ascii="Arial" w:hAnsi="Arial" w:cs="Arial"/>
          <w:b/>
          <w:bCs/>
          <w:color w:val="000000"/>
          <w:sz w:val="16"/>
          <w:szCs w:val="16"/>
        </w:rPr>
      </w:pPr>
    </w:p>
    <w:p w:rsidR="00774BA9" w:rsidRDefault="00774BA9" w:rsidP="00774BA9">
      <w:pPr>
        <w:adjustRightInd w:val="0"/>
        <w:spacing w:before="10" w:after="10"/>
        <w:rPr>
          <w:rFonts w:ascii="Arial" w:hAnsi="Arial" w:cs="Arial"/>
          <w:b/>
          <w:bCs/>
          <w:color w:val="000000"/>
          <w:sz w:val="16"/>
          <w:szCs w:val="16"/>
        </w:rPr>
      </w:pPr>
    </w:p>
    <w:p w:rsidR="00774BA9" w:rsidRDefault="00774BA9" w:rsidP="00774BA9">
      <w:pPr>
        <w:adjustRightInd w:val="0"/>
        <w:spacing w:before="10" w:after="10"/>
        <w:rPr>
          <w:rFonts w:ascii="Arial" w:hAnsi="Arial" w:cs="Arial"/>
          <w:b/>
          <w:bCs/>
          <w:color w:val="000000"/>
          <w:sz w:val="16"/>
          <w:szCs w:val="16"/>
        </w:rPr>
      </w:pPr>
    </w:p>
    <w:p w:rsidR="00774BA9" w:rsidRDefault="00774BA9" w:rsidP="00774BA9">
      <w:pPr>
        <w:adjustRightInd w:val="0"/>
        <w:spacing w:before="10" w:after="10"/>
        <w:rPr>
          <w:rFonts w:ascii="Arial" w:hAnsi="Arial" w:cs="Arial"/>
          <w:b/>
          <w:bCs/>
          <w:color w:val="000000"/>
          <w:sz w:val="16"/>
          <w:szCs w:val="16"/>
        </w:rPr>
      </w:pPr>
      <w:r>
        <w:rPr>
          <w:rFonts w:ascii="Arial" w:hAnsi="Arial" w:cs="Arial"/>
          <w:b/>
          <w:bCs/>
          <w:color w:val="000000"/>
          <w:sz w:val="16"/>
          <w:szCs w:val="16"/>
        </w:rPr>
        <w:br w:type="page"/>
      </w:r>
      <w:r>
        <w:rPr>
          <w:rFonts w:ascii="Arial" w:hAnsi="Arial" w:cs="Arial"/>
          <w:b/>
          <w:bCs/>
          <w:color w:val="000000"/>
          <w:sz w:val="16"/>
          <w:szCs w:val="16"/>
        </w:rPr>
        <w:lastRenderedPageBreak/>
        <w:t xml:space="preserve">Supplementary Table 5. Demographics and baseline characteristics of </w:t>
      </w:r>
      <w:r>
        <w:rPr>
          <w:rFonts w:ascii="Arial" w:hAnsi="Arial" w:cs="Arial"/>
          <w:b/>
          <w:bCs/>
          <w:i/>
          <w:iCs/>
          <w:color w:val="000000"/>
          <w:sz w:val="16"/>
          <w:szCs w:val="16"/>
        </w:rPr>
        <w:t>LRRK2</w:t>
      </w:r>
      <w:r>
        <w:rPr>
          <w:rFonts w:ascii="Arial" w:hAnsi="Arial" w:cs="Arial"/>
          <w:b/>
          <w:bCs/>
          <w:color w:val="000000"/>
          <w:sz w:val="16"/>
          <w:szCs w:val="16"/>
        </w:rPr>
        <w:t xml:space="preserve"> G2019S </w:t>
      </w:r>
      <w:r>
        <w:rPr>
          <w:rFonts w:ascii="Arial" w:hAnsi="Arial" w:cs="Arial"/>
          <w:b/>
          <w:bCs/>
          <w:i/>
          <w:iCs/>
          <w:color w:val="000000"/>
          <w:sz w:val="16"/>
          <w:szCs w:val="16"/>
        </w:rPr>
        <w:t>vs</w:t>
      </w:r>
      <w:r>
        <w:rPr>
          <w:rFonts w:ascii="Arial" w:hAnsi="Arial" w:cs="Arial"/>
          <w:b/>
          <w:bCs/>
          <w:color w:val="000000"/>
          <w:sz w:val="16"/>
          <w:szCs w:val="16"/>
        </w:rPr>
        <w:t xml:space="preserve"> </w:t>
      </w:r>
      <w:r>
        <w:rPr>
          <w:rFonts w:ascii="Arial" w:hAnsi="Arial" w:cs="Arial"/>
          <w:b/>
          <w:bCs/>
          <w:i/>
          <w:iCs/>
          <w:color w:val="000000"/>
          <w:sz w:val="16"/>
          <w:szCs w:val="16"/>
        </w:rPr>
        <w:t>LRRK2</w:t>
      </w:r>
      <w:r>
        <w:rPr>
          <w:rFonts w:ascii="Arial" w:hAnsi="Arial" w:cs="Arial"/>
          <w:b/>
          <w:bCs/>
          <w:color w:val="000000"/>
          <w:sz w:val="16"/>
          <w:szCs w:val="16"/>
        </w:rPr>
        <w:t xml:space="preserve"> R1441G carriers</w:t>
      </w:r>
    </w:p>
    <w:p w:rsidR="00774BA9" w:rsidRDefault="00774BA9" w:rsidP="00774BA9">
      <w:pPr>
        <w:adjustRightInd w:val="0"/>
        <w:rPr>
          <w:rFonts w:ascii="Arial" w:hAnsi="Arial" w:cs="Arial"/>
          <w:b/>
          <w:bCs/>
          <w:color w:val="000000"/>
          <w:sz w:val="16"/>
          <w:szCs w:val="16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309"/>
        <w:gridCol w:w="1528"/>
        <w:gridCol w:w="1528"/>
        <w:gridCol w:w="181"/>
        <w:gridCol w:w="1528"/>
      </w:tblGrid>
      <w:tr w:rsidR="00774BA9" w:rsidTr="00DD30A1">
        <w:trPr>
          <w:cantSplit/>
          <w:tblHeader/>
        </w:trPr>
        <w:tc>
          <w:tcPr>
            <w:tcW w:w="3309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  <w:vAlign w:val="bottom"/>
          </w:tcPr>
          <w:p w:rsidR="00774BA9" w:rsidRDefault="00774BA9" w:rsidP="00DD30A1">
            <w:pPr>
              <w:adjustRightInd w:val="0"/>
              <w:spacing w:before="40" w:after="4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bookmarkStart w:id="0" w:name="IDX1"/>
            <w:bookmarkEnd w:id="0"/>
          </w:p>
        </w:tc>
        <w:tc>
          <w:tcPr>
            <w:tcW w:w="3056" w:type="dxa"/>
            <w:gridSpan w:val="2"/>
            <w:tcBorders>
              <w:top w:val="single" w:sz="6" w:space="0" w:color="000000"/>
              <w:left w:val="nil"/>
              <w:bottom w:val="single" w:sz="7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  <w:vAlign w:val="bottom"/>
          </w:tcPr>
          <w:p w:rsidR="00774BA9" w:rsidRDefault="00774BA9" w:rsidP="00DD30A1">
            <w:pPr>
              <w:adjustRightInd w:val="0"/>
              <w:spacing w:before="40" w:after="4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Group</w:t>
            </w:r>
          </w:p>
        </w:tc>
        <w:tc>
          <w:tcPr>
            <w:tcW w:w="181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  <w:vAlign w:val="bottom"/>
          </w:tcPr>
          <w:p w:rsidR="00774BA9" w:rsidRDefault="00774BA9" w:rsidP="00DD30A1">
            <w:pPr>
              <w:adjustRightInd w:val="0"/>
              <w:spacing w:before="40" w:after="4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528" w:type="dxa"/>
            <w:tcBorders>
              <w:top w:val="single" w:sz="6" w:space="0" w:color="000000"/>
              <w:left w:val="nil"/>
              <w:bottom w:val="single" w:sz="7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  <w:vAlign w:val="bottom"/>
          </w:tcPr>
          <w:p w:rsidR="00774BA9" w:rsidRDefault="00774BA9" w:rsidP="00DD30A1">
            <w:pPr>
              <w:adjustRightInd w:val="0"/>
              <w:spacing w:before="40" w:after="4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 values</w:t>
            </w:r>
          </w:p>
        </w:tc>
      </w:tr>
      <w:tr w:rsidR="00774BA9" w:rsidTr="00DD30A1">
        <w:trPr>
          <w:cantSplit/>
          <w:tblHeader/>
        </w:trPr>
        <w:tc>
          <w:tcPr>
            <w:tcW w:w="3309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  <w:vAlign w:val="bottom"/>
          </w:tcPr>
          <w:p w:rsidR="00774BA9" w:rsidRDefault="00774BA9" w:rsidP="00DD30A1">
            <w:pPr>
              <w:adjustRightInd w:val="0"/>
              <w:spacing w:before="40" w:after="4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  <w:vAlign w:val="bottom"/>
          </w:tcPr>
          <w:p w:rsidR="00774BA9" w:rsidRDefault="00774BA9" w:rsidP="00DD30A1">
            <w:pPr>
              <w:adjustRightInd w:val="0"/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LRRK2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G2019S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br/>
              <w:t>carriers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(N = 176)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  <w:vAlign w:val="bottom"/>
          </w:tcPr>
          <w:p w:rsidR="00774BA9" w:rsidRDefault="00774BA9" w:rsidP="00DD30A1">
            <w:pPr>
              <w:adjustRightInd w:val="0"/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LRRK2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R1441G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br/>
              <w:t>carriers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(N = 16)</w:t>
            </w:r>
          </w:p>
        </w:tc>
        <w:tc>
          <w:tcPr>
            <w:tcW w:w="18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  <w:vAlign w:val="bottom"/>
          </w:tcPr>
          <w:p w:rsidR="00774BA9" w:rsidRDefault="00774BA9" w:rsidP="00DD30A1">
            <w:pPr>
              <w:adjustRightInd w:val="0"/>
              <w:spacing w:before="40" w:after="4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  <w:vAlign w:val="bottom"/>
          </w:tcPr>
          <w:p w:rsidR="00774BA9" w:rsidRDefault="00774BA9" w:rsidP="00DD30A1">
            <w:pPr>
              <w:adjustRightInd w:val="0"/>
              <w:spacing w:before="40" w:after="4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LRRK2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G2019S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 xml:space="preserve"> vs LRRK2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br/>
              <w:t>R1441G</w:t>
            </w:r>
          </w:p>
        </w:tc>
      </w:tr>
      <w:tr w:rsidR="00774BA9" w:rsidTr="00DD30A1">
        <w:trPr>
          <w:cantSplit/>
        </w:trPr>
        <w:tc>
          <w:tcPr>
            <w:tcW w:w="330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Sex (female)</w:t>
            </w:r>
          </w:p>
        </w:tc>
        <w:tc>
          <w:tcPr>
            <w:tcW w:w="1528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99 (56%)</w:t>
            </w:r>
          </w:p>
        </w:tc>
        <w:tc>
          <w:tcPr>
            <w:tcW w:w="1528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 (63%)</w:t>
            </w:r>
          </w:p>
        </w:tc>
        <w:tc>
          <w:tcPr>
            <w:tcW w:w="181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528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0.7935</w:t>
            </w:r>
          </w:p>
        </w:tc>
      </w:tr>
      <w:tr w:rsidR="00774BA9" w:rsidTr="00DD30A1">
        <w:trPr>
          <w:cantSplit/>
        </w:trPr>
        <w:tc>
          <w:tcPr>
            <w:tcW w:w="330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Age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, mean (SD; range)</w:t>
            </w:r>
          </w:p>
        </w:tc>
        <w:tc>
          <w:tcPr>
            <w:tcW w:w="1528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62.0 (7.7; </w:t>
            </w:r>
            <w:r w:rsidRPr="008E5E59">
              <w:rPr>
                <w:rFonts w:ascii="Arial" w:hAnsi="Arial" w:cs="Arial"/>
                <w:color w:val="000000"/>
                <w:sz w:val="16"/>
                <w:szCs w:val="16"/>
              </w:rPr>
              <w:t>45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-</w:t>
            </w:r>
            <w:r w:rsidRPr="008E5E59">
              <w:rPr>
                <w:rFonts w:ascii="Arial" w:hAnsi="Arial" w:cs="Arial"/>
                <w:color w:val="000000"/>
                <w:sz w:val="16"/>
                <w:szCs w:val="16"/>
              </w:rPr>
              <w:t>81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1528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56.4 (5.2; </w:t>
            </w:r>
            <w:r w:rsidRPr="008E5E59">
              <w:rPr>
                <w:rFonts w:ascii="Arial" w:hAnsi="Arial" w:cs="Arial"/>
                <w:color w:val="000000"/>
                <w:sz w:val="16"/>
                <w:szCs w:val="16"/>
              </w:rPr>
              <w:t>49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-</w:t>
            </w:r>
            <w:r w:rsidRPr="008E5E59"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181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528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0.0035</w:t>
            </w:r>
          </w:p>
        </w:tc>
      </w:tr>
      <w:tr w:rsidR="00774BA9" w:rsidTr="00DD30A1">
        <w:trPr>
          <w:cantSplit/>
        </w:trPr>
        <w:tc>
          <w:tcPr>
            <w:tcW w:w="330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Education (≤ 12 years)</w:t>
            </w:r>
          </w:p>
        </w:tc>
        <w:tc>
          <w:tcPr>
            <w:tcW w:w="1528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 (15%)</w:t>
            </w:r>
          </w:p>
        </w:tc>
        <w:tc>
          <w:tcPr>
            <w:tcW w:w="1528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 (38%)</w:t>
            </w:r>
          </w:p>
        </w:tc>
        <w:tc>
          <w:tcPr>
            <w:tcW w:w="181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528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0.0312</w:t>
            </w:r>
          </w:p>
        </w:tc>
      </w:tr>
      <w:tr w:rsidR="00774BA9" w:rsidTr="00DD30A1">
        <w:trPr>
          <w:cantSplit/>
        </w:trPr>
        <w:tc>
          <w:tcPr>
            <w:tcW w:w="330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Ethnicity (Hispanic/Latino)</w:t>
            </w:r>
          </w:p>
        </w:tc>
        <w:tc>
          <w:tcPr>
            <w:tcW w:w="1528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 (9%)</w:t>
            </w:r>
          </w:p>
        </w:tc>
        <w:tc>
          <w:tcPr>
            <w:tcW w:w="1528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 (88%)</w:t>
            </w:r>
          </w:p>
        </w:tc>
        <w:tc>
          <w:tcPr>
            <w:tcW w:w="181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528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&lt;.0001</w:t>
            </w:r>
          </w:p>
        </w:tc>
      </w:tr>
      <w:tr w:rsidR="00774BA9" w:rsidTr="00DD30A1">
        <w:trPr>
          <w:cantSplit/>
        </w:trPr>
        <w:tc>
          <w:tcPr>
            <w:tcW w:w="330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Race (White)</w:t>
            </w:r>
          </w:p>
        </w:tc>
        <w:tc>
          <w:tcPr>
            <w:tcW w:w="1528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171 (98%)</w:t>
            </w:r>
          </w:p>
        </w:tc>
        <w:tc>
          <w:tcPr>
            <w:tcW w:w="1528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 (31%)</w:t>
            </w:r>
          </w:p>
        </w:tc>
        <w:tc>
          <w:tcPr>
            <w:tcW w:w="181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528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&lt;.0001</w:t>
            </w:r>
          </w:p>
        </w:tc>
      </w:tr>
      <w:tr w:rsidR="00774BA9" w:rsidTr="00DD30A1">
        <w:trPr>
          <w:cantSplit/>
        </w:trPr>
        <w:tc>
          <w:tcPr>
            <w:tcW w:w="330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Family history of PD (first-degree)</w:t>
            </w:r>
          </w:p>
        </w:tc>
        <w:tc>
          <w:tcPr>
            <w:tcW w:w="1528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152 (86%)</w:t>
            </w:r>
          </w:p>
        </w:tc>
        <w:tc>
          <w:tcPr>
            <w:tcW w:w="1528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 (100%)</w:t>
            </w:r>
          </w:p>
        </w:tc>
        <w:tc>
          <w:tcPr>
            <w:tcW w:w="181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528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0.2286</w:t>
            </w:r>
          </w:p>
        </w:tc>
      </w:tr>
      <w:tr w:rsidR="00774BA9" w:rsidTr="00DD30A1">
        <w:trPr>
          <w:cantSplit/>
        </w:trPr>
        <w:tc>
          <w:tcPr>
            <w:tcW w:w="330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UPSIT raw score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, mean (SD; range)</w:t>
            </w:r>
          </w:p>
        </w:tc>
        <w:tc>
          <w:tcPr>
            <w:tcW w:w="1528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33.1 (4.3; 14-40)</w:t>
            </w:r>
          </w:p>
        </w:tc>
        <w:tc>
          <w:tcPr>
            <w:tcW w:w="1528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29.9 (2.6; 24-34)</w:t>
            </w:r>
          </w:p>
        </w:tc>
        <w:tc>
          <w:tcPr>
            <w:tcW w:w="181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528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&lt;.0001</w:t>
            </w:r>
          </w:p>
        </w:tc>
      </w:tr>
      <w:tr w:rsidR="00774BA9" w:rsidTr="00DD30A1">
        <w:trPr>
          <w:cantSplit/>
        </w:trPr>
        <w:tc>
          <w:tcPr>
            <w:tcW w:w="330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UPSIT percentile</w:t>
            </w:r>
          </w:p>
        </w:tc>
        <w:tc>
          <w:tcPr>
            <w:tcW w:w="1528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528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81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528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&lt;.0001</w:t>
            </w:r>
          </w:p>
        </w:tc>
      </w:tr>
      <w:tr w:rsidR="00774BA9" w:rsidTr="00DD30A1">
        <w:trPr>
          <w:cantSplit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88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≤ 15</w:t>
            </w:r>
            <w:r w:rsidRPr="00DC0B7D">
              <w:rPr>
                <w:rFonts w:ascii="Arial" w:hAnsi="Arial" w:cs="Arial"/>
                <w:color w:val="000000"/>
                <w:sz w:val="16"/>
                <w:szCs w:val="16"/>
              </w:rPr>
              <w:t>th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 (11%)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 (50%)</w:t>
            </w:r>
          </w:p>
        </w:tc>
        <w:tc>
          <w:tcPr>
            <w:tcW w:w="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774BA9" w:rsidTr="00DD30A1">
        <w:trPr>
          <w:cantSplit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88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16th-50</w:t>
            </w:r>
            <w:r w:rsidRPr="00DC0B7D">
              <w:rPr>
                <w:rFonts w:ascii="Arial" w:hAnsi="Arial" w:cs="Arial"/>
                <w:color w:val="000000"/>
                <w:sz w:val="16"/>
                <w:szCs w:val="16"/>
              </w:rPr>
              <w:t>th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73 (41%)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 (50%)</w:t>
            </w:r>
          </w:p>
        </w:tc>
        <w:tc>
          <w:tcPr>
            <w:tcW w:w="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774BA9" w:rsidTr="00DD30A1">
        <w:trPr>
          <w:cantSplit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88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&gt; 50</w:t>
            </w:r>
            <w:r w:rsidRPr="00DC0B7D">
              <w:rPr>
                <w:rFonts w:ascii="Arial" w:hAnsi="Arial" w:cs="Arial"/>
                <w:color w:val="000000"/>
                <w:sz w:val="16"/>
                <w:szCs w:val="16"/>
              </w:rPr>
              <w:t>th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83 (47%)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 (0%)</w:t>
            </w:r>
          </w:p>
        </w:tc>
        <w:tc>
          <w:tcPr>
            <w:tcW w:w="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774BA9" w:rsidTr="00DD30A1">
        <w:trPr>
          <w:cantSplit/>
        </w:trPr>
        <w:tc>
          <w:tcPr>
            <w:tcW w:w="330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DAT deficit</w:t>
            </w:r>
          </w:p>
        </w:tc>
        <w:tc>
          <w:tcPr>
            <w:tcW w:w="1528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 (13%)</w:t>
            </w:r>
          </w:p>
        </w:tc>
        <w:tc>
          <w:tcPr>
            <w:tcW w:w="1528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 (19%)</w:t>
            </w:r>
          </w:p>
        </w:tc>
        <w:tc>
          <w:tcPr>
            <w:tcW w:w="181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528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0.4437</w:t>
            </w:r>
          </w:p>
        </w:tc>
      </w:tr>
      <w:tr w:rsidR="00774BA9" w:rsidTr="00DD30A1">
        <w:trPr>
          <w:cantSplit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88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Missing DAT results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774BA9" w:rsidTr="00DD30A1">
        <w:trPr>
          <w:cantSplit/>
        </w:trPr>
        <w:tc>
          <w:tcPr>
            <w:tcW w:w="330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Caudate SBR</w:t>
            </w:r>
          </w:p>
        </w:tc>
        <w:tc>
          <w:tcPr>
            <w:tcW w:w="1528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2.97 (0.57)</w:t>
            </w:r>
          </w:p>
        </w:tc>
        <w:tc>
          <w:tcPr>
            <w:tcW w:w="1528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3.10 (0.73)</w:t>
            </w:r>
          </w:p>
        </w:tc>
        <w:tc>
          <w:tcPr>
            <w:tcW w:w="181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528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0.7824</w:t>
            </w:r>
          </w:p>
        </w:tc>
      </w:tr>
      <w:tr w:rsidR="00774BA9" w:rsidTr="00DD30A1">
        <w:trPr>
          <w:cantSplit/>
        </w:trPr>
        <w:tc>
          <w:tcPr>
            <w:tcW w:w="330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Putamen SBR</w:t>
            </w:r>
          </w:p>
        </w:tc>
        <w:tc>
          <w:tcPr>
            <w:tcW w:w="1528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2.09 (0.51)</w:t>
            </w:r>
          </w:p>
        </w:tc>
        <w:tc>
          <w:tcPr>
            <w:tcW w:w="1528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2.15 (0.64)</w:t>
            </w:r>
          </w:p>
        </w:tc>
        <w:tc>
          <w:tcPr>
            <w:tcW w:w="181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528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0.2469</w:t>
            </w:r>
          </w:p>
        </w:tc>
      </w:tr>
      <w:tr w:rsidR="00774BA9" w:rsidTr="00DD30A1">
        <w:trPr>
          <w:cantSplit/>
        </w:trPr>
        <w:tc>
          <w:tcPr>
            <w:tcW w:w="3309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Striatum SBR</w:t>
            </w:r>
          </w:p>
        </w:tc>
        <w:tc>
          <w:tcPr>
            <w:tcW w:w="1528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2.53 (0.52)</w:t>
            </w:r>
          </w:p>
        </w:tc>
        <w:tc>
          <w:tcPr>
            <w:tcW w:w="1528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2.63 (0.66)</w:t>
            </w:r>
          </w:p>
        </w:tc>
        <w:tc>
          <w:tcPr>
            <w:tcW w:w="181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528" w:type="dxa"/>
            <w:tcBorders>
              <w:top w:val="single" w:sz="6" w:space="0" w:color="2F2F2F"/>
              <w:left w:val="nil"/>
              <w:bottom w:val="nil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0.5036</w:t>
            </w:r>
          </w:p>
        </w:tc>
      </w:tr>
      <w:tr w:rsidR="00774BA9" w:rsidTr="00DD30A1">
        <w:trPr>
          <w:cantSplit/>
        </w:trPr>
        <w:tc>
          <w:tcPr>
            <w:tcW w:w="3309" w:type="dxa"/>
            <w:tcBorders>
              <w:top w:val="single" w:sz="6" w:space="0" w:color="2F2F2F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MDS prodromal criteria (&gt; 80%)</w:t>
            </w:r>
          </w:p>
        </w:tc>
        <w:tc>
          <w:tcPr>
            <w:tcW w:w="1528" w:type="dxa"/>
            <w:tcBorders>
              <w:top w:val="single" w:sz="6" w:space="0" w:color="2F2F2F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 (7%)</w:t>
            </w:r>
          </w:p>
        </w:tc>
        <w:tc>
          <w:tcPr>
            <w:tcW w:w="1528" w:type="dxa"/>
            <w:tcBorders>
              <w:top w:val="single" w:sz="6" w:space="0" w:color="2F2F2F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 (0%)</w:t>
            </w:r>
          </w:p>
        </w:tc>
        <w:tc>
          <w:tcPr>
            <w:tcW w:w="181" w:type="dxa"/>
            <w:tcBorders>
              <w:top w:val="single" w:sz="6" w:space="0" w:color="2F2F2F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528" w:type="dxa"/>
            <w:tcBorders>
              <w:top w:val="single" w:sz="6" w:space="0" w:color="2F2F2F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80" w:type="dxa"/>
              <w:right w:w="80" w:type="dxa"/>
            </w:tcMar>
          </w:tcPr>
          <w:p w:rsidR="00774BA9" w:rsidRDefault="00774BA9" w:rsidP="00DD30A1">
            <w:pPr>
              <w:adjustRightInd w:val="0"/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0.6036</w:t>
            </w:r>
          </w:p>
        </w:tc>
      </w:tr>
    </w:tbl>
    <w:p w:rsidR="00774BA9" w:rsidRDefault="00774BA9" w:rsidP="00774BA9">
      <w:pPr>
        <w:adjustRightInd w:val="0"/>
        <w:rPr>
          <w:rFonts w:ascii="Arial" w:hAnsi="Arial" w:cs="Arial"/>
          <w:color w:val="000000"/>
          <w:sz w:val="16"/>
          <w:szCs w:val="16"/>
        </w:rPr>
      </w:pPr>
    </w:p>
    <w:p w:rsidR="00774BA9" w:rsidRDefault="00774BA9" w:rsidP="00774BA9">
      <w:pPr>
        <w:adjustRightInd w:val="0"/>
        <w:rPr>
          <w:rFonts w:ascii="Arial" w:hAnsi="Arial" w:cs="Arial"/>
          <w:color w:val="000000"/>
          <w:sz w:val="16"/>
          <w:szCs w:val="16"/>
        </w:rPr>
      </w:pPr>
    </w:p>
    <w:p w:rsidR="00774BA9" w:rsidRDefault="00774BA9" w:rsidP="00774BA9">
      <w:pPr>
        <w:adjustRightInd w:val="0"/>
        <w:jc w:val="center"/>
        <w:rPr>
          <w:sz w:val="24"/>
          <w:szCs w:val="24"/>
        </w:rPr>
      </w:pPr>
    </w:p>
    <w:p w:rsidR="00774BA9" w:rsidRDefault="00774BA9" w:rsidP="00774BA9">
      <w:pPr>
        <w:adjustRightInd w:val="0"/>
        <w:spacing w:before="10" w:after="10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 xml:space="preserve">Data are mean (SD) or n (%) unless otherwise stated. DAT deficit defined as &lt; 65% age/sex-expected lowest putamen SBR. Ethnicity and race were missing for one </w:t>
      </w:r>
      <w:r>
        <w:rPr>
          <w:rFonts w:ascii="Arial" w:hAnsi="Arial" w:cs="Arial"/>
          <w:i/>
          <w:iCs/>
          <w:color w:val="000000"/>
          <w:sz w:val="16"/>
          <w:szCs w:val="16"/>
        </w:rPr>
        <w:t>LRRK2</w:t>
      </w:r>
      <w:r>
        <w:rPr>
          <w:rFonts w:ascii="Arial" w:hAnsi="Arial" w:cs="Arial"/>
          <w:color w:val="000000"/>
          <w:sz w:val="16"/>
          <w:szCs w:val="16"/>
        </w:rPr>
        <w:t xml:space="preserve"> G2019S subject. p values for SBR measures were adjusted for age and sex using inverse probability weighting; all other p values were found using Fisher’s exact and Wilcoxon rank-sum tests. UPSIT=University of Pennsylvania Smell Identification Test. DAT=dopamine transporter. SBR=specific binding ratio. MDS= International Parkinson and Movement Disorder Society.</w:t>
      </w:r>
    </w:p>
    <w:p w:rsidR="00774BA9" w:rsidRDefault="00774BA9" w:rsidP="00774BA9">
      <w:pPr>
        <w:adjustRightInd w:val="0"/>
        <w:jc w:val="center"/>
        <w:rPr>
          <w:sz w:val="24"/>
          <w:szCs w:val="24"/>
        </w:rPr>
      </w:pPr>
    </w:p>
    <w:p w:rsidR="00774BA9" w:rsidRDefault="00774BA9" w:rsidP="00774BA9">
      <w:pPr>
        <w:autoSpaceDE/>
        <w:autoSpaceDN/>
        <w:spacing w:after="160" w:line="259" w:lineRule="auto"/>
        <w:rPr>
          <w:rFonts w:ascii="Arial" w:hAnsi="Arial" w:cs="Arial"/>
          <w:b/>
          <w:bCs/>
          <w:color w:val="000000"/>
          <w:sz w:val="16"/>
          <w:szCs w:val="16"/>
        </w:rPr>
      </w:pPr>
    </w:p>
    <w:p w:rsidR="00774BA9" w:rsidRPr="00D61DD0" w:rsidRDefault="00774BA9" w:rsidP="00774BA9">
      <w:pPr>
        <w:adjustRightInd w:val="0"/>
        <w:spacing w:before="10" w:after="10"/>
        <w:rPr>
          <w:rFonts w:ascii="Arial" w:hAnsi="Arial" w:cs="Arial"/>
          <w:b/>
          <w:bCs/>
          <w:color w:val="000000"/>
          <w:sz w:val="16"/>
          <w:szCs w:val="16"/>
        </w:rPr>
      </w:pPr>
    </w:p>
    <w:p w:rsidR="00755780" w:rsidRDefault="00755780">
      <w:bookmarkStart w:id="1" w:name="_GoBack"/>
      <w:bookmarkEnd w:id="1"/>
    </w:p>
    <w:sectPr w:rsidR="00755780" w:rsidSect="00C513EA">
      <w:headerReference w:type="default" r:id="rId4"/>
      <w:pgSz w:w="15840" w:h="12240" w:orient="landscape"/>
      <w:pgMar w:top="360" w:right="360" w:bottom="360" w:left="360" w:header="720" w:footer="36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906BD" w:rsidRDefault="00774BA9">
    <w:r>
      <w:rPr>
        <w:sz w:val="24"/>
        <w:szCs w:val="24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4BA9"/>
    <w:rsid w:val="00755780"/>
    <w:rsid w:val="00774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9A68070-51FF-4BEA-8A44-5154EA1557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74BA9"/>
    <w:pPr>
      <w:autoSpaceDE w:val="0"/>
      <w:autoSpaceDN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1259</Words>
  <Characters>7179</Characters>
  <Application>Microsoft Office Word</Application>
  <DocSecurity>0</DocSecurity>
  <Lines>59</Lines>
  <Paragraphs>16</Paragraphs>
  <ScaleCrop>false</ScaleCrop>
  <Company>Springer Nature IT</Company>
  <LinksUpToDate>false</LinksUpToDate>
  <CharactersWithSpaces>8422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2022-06-15T04:32:00Z</dcterms:created>
  <dcterms:modified xsi:type="dcterms:W3CDTF">2022-06-15T04:32:00Z</dcterms:modified>
</cp:coreProperties>
</file>