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737DF" w14:textId="77777777" w:rsidR="00BD2AE9" w:rsidRPr="00276DDE" w:rsidRDefault="00276DDE">
      <w:pPr>
        <w:rPr>
          <w:rFonts w:ascii="Times New Roman" w:hAnsi="Times New Roman" w:cs="Times New Roman"/>
          <w:b/>
          <w:sz w:val="24"/>
          <w:szCs w:val="24"/>
        </w:rPr>
      </w:pPr>
      <w:r w:rsidRPr="00276DDE">
        <w:rPr>
          <w:rFonts w:ascii="Times New Roman" w:hAnsi="Times New Roman" w:cs="Times New Roman"/>
          <w:b/>
          <w:sz w:val="24"/>
          <w:szCs w:val="24"/>
        </w:rPr>
        <w:t>Supplemental Material</w:t>
      </w:r>
    </w:p>
    <w:p w14:paraId="01474D31" w14:textId="77777777" w:rsidR="00276DDE" w:rsidRPr="00276DDE" w:rsidRDefault="00276DDE" w:rsidP="00276DDE">
      <w:pPr>
        <w:spacing w:after="0" w:line="240" w:lineRule="auto"/>
        <w:rPr>
          <w:rFonts w:ascii="Times New Roman" w:eastAsia="Times New Roman" w:hAnsi="Times New Roman" w:cs="Times New Roman"/>
          <w:sz w:val="24"/>
          <w:szCs w:val="24"/>
        </w:rPr>
      </w:pPr>
      <w:r w:rsidRPr="00276DDE">
        <w:rPr>
          <w:rFonts w:ascii="Times New Roman" w:eastAsia="Times New Roman" w:hAnsi="Times New Roman" w:cs="Times New Roman"/>
          <w:b/>
          <w:sz w:val="24"/>
          <w:szCs w:val="24"/>
        </w:rPr>
        <w:t>Table S1</w:t>
      </w:r>
      <w:r w:rsidRPr="00276DDE">
        <w:rPr>
          <w:rFonts w:ascii="Times New Roman" w:eastAsia="Times New Roman" w:hAnsi="Times New Roman" w:cs="Times New Roman"/>
          <w:sz w:val="24"/>
          <w:szCs w:val="24"/>
        </w:rPr>
        <w:t xml:space="preserve"> | </w:t>
      </w:r>
      <w:r w:rsidR="007C1AFD" w:rsidRPr="007C1AFD">
        <w:rPr>
          <w:rFonts w:ascii="Times New Roman" w:eastAsia="Times New Roman" w:hAnsi="Times New Roman" w:cs="Times New Roman"/>
          <w:sz w:val="24"/>
          <w:szCs w:val="24"/>
        </w:rPr>
        <w:t xml:space="preserve">A regional/sub-regional comparison of average net carbonate production (NCP), gross carbonate production (GCP) and gross carbonate erosion (GCE) of South Florida reef systems in units of kg CaCO3 m2 yr-1. Regions/sub-regions are listed in a southern to northern gradient as follows: DRTO, Dry Tortugas; LK, Lower Keys; MK, Middle Keys; UK, Upper Keys; BISC, Biscayne; and SEFL, Southeast Florida. Individual contributions of calcifying (coral, CCA, hydrocoral) and </w:t>
      </w:r>
      <w:proofErr w:type="spellStart"/>
      <w:r w:rsidR="007C1AFD" w:rsidRPr="007C1AFD">
        <w:rPr>
          <w:rFonts w:ascii="Times New Roman" w:eastAsia="Times New Roman" w:hAnsi="Times New Roman" w:cs="Times New Roman"/>
          <w:sz w:val="24"/>
          <w:szCs w:val="24"/>
        </w:rPr>
        <w:t>bioeroding</w:t>
      </w:r>
      <w:proofErr w:type="spellEnd"/>
      <w:r w:rsidR="007C1AFD" w:rsidRPr="007C1AFD">
        <w:rPr>
          <w:rFonts w:ascii="Times New Roman" w:eastAsia="Times New Roman" w:hAnsi="Times New Roman" w:cs="Times New Roman"/>
          <w:sz w:val="24"/>
          <w:szCs w:val="24"/>
        </w:rPr>
        <w:t xml:space="preserve"> (parrotfish, </w:t>
      </w:r>
      <w:proofErr w:type="spellStart"/>
      <w:r w:rsidR="007C1AFD" w:rsidRPr="007C1AFD">
        <w:rPr>
          <w:rFonts w:ascii="Times New Roman" w:eastAsia="Times New Roman" w:hAnsi="Times New Roman" w:cs="Times New Roman"/>
          <w:sz w:val="24"/>
          <w:szCs w:val="24"/>
        </w:rPr>
        <w:t>macrobioerosion</w:t>
      </w:r>
      <w:proofErr w:type="spellEnd"/>
      <w:r w:rsidR="007C1AFD" w:rsidRPr="007C1AFD">
        <w:rPr>
          <w:rFonts w:ascii="Times New Roman" w:eastAsia="Times New Roman" w:hAnsi="Times New Roman" w:cs="Times New Roman"/>
          <w:sz w:val="24"/>
          <w:szCs w:val="24"/>
        </w:rPr>
        <w:t xml:space="preserve">, </w:t>
      </w:r>
      <w:proofErr w:type="spellStart"/>
      <w:r w:rsidR="007C1AFD" w:rsidRPr="007C1AFD">
        <w:rPr>
          <w:rFonts w:ascii="Times New Roman" w:eastAsia="Times New Roman" w:hAnsi="Times New Roman" w:cs="Times New Roman"/>
          <w:sz w:val="24"/>
          <w:szCs w:val="24"/>
        </w:rPr>
        <w:t>microbioerosion</w:t>
      </w:r>
      <w:proofErr w:type="spellEnd"/>
      <w:r w:rsidR="007C1AFD" w:rsidRPr="007C1AFD">
        <w:rPr>
          <w:rFonts w:ascii="Times New Roman" w:eastAsia="Times New Roman" w:hAnsi="Times New Roman" w:cs="Times New Roman"/>
          <w:sz w:val="24"/>
          <w:szCs w:val="24"/>
        </w:rPr>
        <w:t xml:space="preserve">, </w:t>
      </w:r>
      <w:proofErr w:type="spellStart"/>
      <w:r w:rsidR="007C1AFD" w:rsidRPr="007C1AFD">
        <w:rPr>
          <w:rFonts w:ascii="Times New Roman" w:eastAsia="Times New Roman" w:hAnsi="Times New Roman" w:cs="Times New Roman"/>
          <w:sz w:val="24"/>
          <w:szCs w:val="24"/>
        </w:rPr>
        <w:t>diadema</w:t>
      </w:r>
      <w:proofErr w:type="spellEnd"/>
      <w:r w:rsidR="007C1AFD" w:rsidRPr="007C1AFD">
        <w:rPr>
          <w:rFonts w:ascii="Times New Roman" w:eastAsia="Times New Roman" w:hAnsi="Times New Roman" w:cs="Times New Roman"/>
          <w:sz w:val="24"/>
          <w:szCs w:val="24"/>
        </w:rPr>
        <w:t>) functional groups to GCP and GCE are also compared between regions and sub-regions.</w:t>
      </w:r>
    </w:p>
    <w:tbl>
      <w:tblPr>
        <w:tblW w:w="9125" w:type="dxa"/>
        <w:tblLook w:val="04A0" w:firstRow="1" w:lastRow="0" w:firstColumn="1" w:lastColumn="0" w:noHBand="0" w:noVBand="1"/>
      </w:tblPr>
      <w:tblGrid>
        <w:gridCol w:w="2423"/>
        <w:gridCol w:w="1142"/>
        <w:gridCol w:w="1112"/>
        <w:gridCol w:w="1111"/>
        <w:gridCol w:w="1111"/>
        <w:gridCol w:w="1111"/>
        <w:gridCol w:w="1115"/>
      </w:tblGrid>
      <w:tr w:rsidR="007C1AFD" w:rsidRPr="007C1AFD" w14:paraId="2A319A74" w14:textId="77777777" w:rsidTr="006F164A">
        <w:trPr>
          <w:trHeight w:val="387"/>
        </w:trPr>
        <w:tc>
          <w:tcPr>
            <w:tcW w:w="2423" w:type="dxa"/>
            <w:tcBorders>
              <w:top w:val="nil"/>
              <w:left w:val="nil"/>
              <w:bottom w:val="nil"/>
              <w:right w:val="nil"/>
            </w:tcBorders>
            <w:shd w:val="clear" w:color="000000" w:fill="FFFFFF"/>
            <w:noWrap/>
            <w:vAlign w:val="bottom"/>
            <w:hideMark/>
          </w:tcPr>
          <w:p w14:paraId="276908D9"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c>
          <w:tcPr>
            <w:tcW w:w="6702" w:type="dxa"/>
            <w:gridSpan w:val="6"/>
            <w:tcBorders>
              <w:top w:val="nil"/>
              <w:left w:val="nil"/>
              <w:bottom w:val="single" w:sz="8" w:space="0" w:color="auto"/>
              <w:right w:val="nil"/>
            </w:tcBorders>
            <w:shd w:val="clear" w:color="000000" w:fill="FFFFFF"/>
            <w:noWrap/>
            <w:vAlign w:val="bottom"/>
            <w:hideMark/>
          </w:tcPr>
          <w:p w14:paraId="03854195"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Region/Sub-Region</w:t>
            </w:r>
          </w:p>
        </w:tc>
      </w:tr>
      <w:tr w:rsidR="007C1AFD" w:rsidRPr="007C1AFD" w14:paraId="4FAA4ED8" w14:textId="77777777" w:rsidTr="006F164A">
        <w:trPr>
          <w:trHeight w:val="364"/>
        </w:trPr>
        <w:tc>
          <w:tcPr>
            <w:tcW w:w="2423" w:type="dxa"/>
            <w:tcBorders>
              <w:top w:val="nil"/>
              <w:left w:val="nil"/>
              <w:bottom w:val="nil"/>
              <w:right w:val="nil"/>
            </w:tcBorders>
            <w:shd w:val="clear" w:color="000000" w:fill="FFFFFF"/>
            <w:noWrap/>
            <w:vAlign w:val="bottom"/>
            <w:hideMark/>
          </w:tcPr>
          <w:p w14:paraId="4BFF2181" w14:textId="77777777" w:rsidR="007C1AFD" w:rsidRPr="007C1AFD" w:rsidRDefault="007C1AFD" w:rsidP="007C1AFD">
            <w:pPr>
              <w:spacing w:after="0" w:line="240" w:lineRule="auto"/>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Parameter</w:t>
            </w:r>
          </w:p>
        </w:tc>
        <w:tc>
          <w:tcPr>
            <w:tcW w:w="1142" w:type="dxa"/>
            <w:tcBorders>
              <w:top w:val="nil"/>
              <w:left w:val="nil"/>
              <w:bottom w:val="nil"/>
              <w:right w:val="nil"/>
            </w:tcBorders>
            <w:shd w:val="clear" w:color="000000" w:fill="FFFFFF"/>
            <w:noWrap/>
            <w:vAlign w:val="bottom"/>
            <w:hideMark/>
          </w:tcPr>
          <w:p w14:paraId="15B52D64"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DRTO</w:t>
            </w:r>
          </w:p>
        </w:tc>
        <w:tc>
          <w:tcPr>
            <w:tcW w:w="1112" w:type="dxa"/>
            <w:tcBorders>
              <w:top w:val="nil"/>
              <w:left w:val="nil"/>
              <w:bottom w:val="nil"/>
              <w:right w:val="nil"/>
            </w:tcBorders>
            <w:shd w:val="clear" w:color="000000" w:fill="FFFFFF"/>
            <w:noWrap/>
            <w:vAlign w:val="bottom"/>
            <w:hideMark/>
          </w:tcPr>
          <w:p w14:paraId="629B171D"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LK</w:t>
            </w:r>
          </w:p>
        </w:tc>
        <w:tc>
          <w:tcPr>
            <w:tcW w:w="1111" w:type="dxa"/>
            <w:tcBorders>
              <w:top w:val="nil"/>
              <w:left w:val="nil"/>
              <w:bottom w:val="nil"/>
              <w:right w:val="nil"/>
            </w:tcBorders>
            <w:shd w:val="clear" w:color="000000" w:fill="FFFFFF"/>
            <w:noWrap/>
            <w:vAlign w:val="bottom"/>
            <w:hideMark/>
          </w:tcPr>
          <w:p w14:paraId="72D29FCE"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MK</w:t>
            </w:r>
          </w:p>
        </w:tc>
        <w:tc>
          <w:tcPr>
            <w:tcW w:w="1111" w:type="dxa"/>
            <w:tcBorders>
              <w:top w:val="nil"/>
              <w:left w:val="nil"/>
              <w:bottom w:val="nil"/>
              <w:right w:val="nil"/>
            </w:tcBorders>
            <w:shd w:val="clear" w:color="000000" w:fill="FFFFFF"/>
            <w:noWrap/>
            <w:vAlign w:val="bottom"/>
            <w:hideMark/>
          </w:tcPr>
          <w:p w14:paraId="15498DBC"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UK</w:t>
            </w:r>
          </w:p>
        </w:tc>
        <w:tc>
          <w:tcPr>
            <w:tcW w:w="1111" w:type="dxa"/>
            <w:tcBorders>
              <w:top w:val="nil"/>
              <w:left w:val="nil"/>
              <w:bottom w:val="nil"/>
              <w:right w:val="nil"/>
            </w:tcBorders>
            <w:shd w:val="clear" w:color="000000" w:fill="FFFFFF"/>
            <w:noWrap/>
            <w:vAlign w:val="bottom"/>
            <w:hideMark/>
          </w:tcPr>
          <w:p w14:paraId="41CF2E5A"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BISC</w:t>
            </w:r>
          </w:p>
        </w:tc>
        <w:tc>
          <w:tcPr>
            <w:tcW w:w="1111" w:type="dxa"/>
            <w:tcBorders>
              <w:top w:val="nil"/>
              <w:left w:val="nil"/>
              <w:bottom w:val="nil"/>
              <w:right w:val="nil"/>
            </w:tcBorders>
            <w:shd w:val="clear" w:color="000000" w:fill="FFFFFF"/>
            <w:noWrap/>
            <w:vAlign w:val="bottom"/>
            <w:hideMark/>
          </w:tcPr>
          <w:p w14:paraId="4432105B"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SEFL</w:t>
            </w:r>
          </w:p>
        </w:tc>
      </w:tr>
      <w:tr w:rsidR="007C1AFD" w:rsidRPr="007C1AFD" w14:paraId="39FF41E9" w14:textId="77777777" w:rsidTr="006F164A">
        <w:trPr>
          <w:trHeight w:val="364"/>
        </w:trPr>
        <w:tc>
          <w:tcPr>
            <w:tcW w:w="2423" w:type="dxa"/>
            <w:tcBorders>
              <w:top w:val="single" w:sz="4" w:space="0" w:color="auto"/>
              <w:left w:val="nil"/>
              <w:bottom w:val="nil"/>
              <w:right w:val="nil"/>
            </w:tcBorders>
            <w:shd w:val="clear" w:color="000000" w:fill="FFFFFF"/>
            <w:noWrap/>
            <w:vAlign w:val="bottom"/>
            <w:hideMark/>
          </w:tcPr>
          <w:p w14:paraId="539FA1DD"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NCP</w:t>
            </w:r>
          </w:p>
        </w:tc>
        <w:tc>
          <w:tcPr>
            <w:tcW w:w="1142" w:type="dxa"/>
            <w:tcBorders>
              <w:top w:val="single" w:sz="4" w:space="0" w:color="auto"/>
              <w:left w:val="nil"/>
              <w:bottom w:val="nil"/>
              <w:right w:val="nil"/>
            </w:tcBorders>
            <w:shd w:val="clear" w:color="000000" w:fill="FFFFFF"/>
            <w:noWrap/>
            <w:vAlign w:val="bottom"/>
            <w:hideMark/>
          </w:tcPr>
          <w:p w14:paraId="2E117C9E"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-0.023</w:t>
            </w:r>
          </w:p>
        </w:tc>
        <w:tc>
          <w:tcPr>
            <w:tcW w:w="1112" w:type="dxa"/>
            <w:tcBorders>
              <w:top w:val="single" w:sz="4" w:space="0" w:color="auto"/>
              <w:left w:val="nil"/>
              <w:bottom w:val="nil"/>
              <w:right w:val="nil"/>
            </w:tcBorders>
            <w:shd w:val="clear" w:color="000000" w:fill="FFFFFF"/>
            <w:noWrap/>
            <w:vAlign w:val="bottom"/>
            <w:hideMark/>
          </w:tcPr>
          <w:p w14:paraId="6FE6915D"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0.042</w:t>
            </w:r>
          </w:p>
        </w:tc>
        <w:tc>
          <w:tcPr>
            <w:tcW w:w="1111" w:type="dxa"/>
            <w:tcBorders>
              <w:top w:val="single" w:sz="4" w:space="0" w:color="auto"/>
              <w:left w:val="nil"/>
              <w:bottom w:val="nil"/>
              <w:right w:val="nil"/>
            </w:tcBorders>
            <w:shd w:val="clear" w:color="000000" w:fill="FFFFFF"/>
            <w:noWrap/>
            <w:vAlign w:val="bottom"/>
            <w:hideMark/>
          </w:tcPr>
          <w:p w14:paraId="7B638010"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0.099</w:t>
            </w:r>
          </w:p>
        </w:tc>
        <w:tc>
          <w:tcPr>
            <w:tcW w:w="1111" w:type="dxa"/>
            <w:tcBorders>
              <w:top w:val="single" w:sz="4" w:space="0" w:color="auto"/>
              <w:left w:val="nil"/>
              <w:bottom w:val="nil"/>
              <w:right w:val="nil"/>
            </w:tcBorders>
            <w:shd w:val="clear" w:color="000000" w:fill="FFFFFF"/>
            <w:noWrap/>
            <w:vAlign w:val="bottom"/>
            <w:hideMark/>
          </w:tcPr>
          <w:p w14:paraId="3334D994"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-0.398</w:t>
            </w:r>
          </w:p>
        </w:tc>
        <w:tc>
          <w:tcPr>
            <w:tcW w:w="1111" w:type="dxa"/>
            <w:tcBorders>
              <w:top w:val="single" w:sz="4" w:space="0" w:color="auto"/>
              <w:left w:val="nil"/>
              <w:bottom w:val="nil"/>
              <w:right w:val="nil"/>
            </w:tcBorders>
            <w:shd w:val="clear" w:color="000000" w:fill="FFFFFF"/>
            <w:noWrap/>
            <w:vAlign w:val="bottom"/>
            <w:hideMark/>
          </w:tcPr>
          <w:p w14:paraId="0D8BCEAC"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-0.225</w:t>
            </w:r>
          </w:p>
        </w:tc>
        <w:tc>
          <w:tcPr>
            <w:tcW w:w="1111" w:type="dxa"/>
            <w:tcBorders>
              <w:top w:val="single" w:sz="4" w:space="0" w:color="auto"/>
              <w:left w:val="nil"/>
              <w:bottom w:val="nil"/>
              <w:right w:val="nil"/>
            </w:tcBorders>
            <w:shd w:val="clear" w:color="000000" w:fill="FFFFFF"/>
            <w:noWrap/>
            <w:vAlign w:val="bottom"/>
            <w:hideMark/>
          </w:tcPr>
          <w:p w14:paraId="47845009"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-0.514</w:t>
            </w:r>
          </w:p>
        </w:tc>
      </w:tr>
      <w:tr w:rsidR="007C1AFD" w:rsidRPr="007C1AFD" w14:paraId="7B213C44" w14:textId="77777777" w:rsidTr="006F164A">
        <w:trPr>
          <w:trHeight w:val="364"/>
        </w:trPr>
        <w:tc>
          <w:tcPr>
            <w:tcW w:w="2423" w:type="dxa"/>
            <w:tcBorders>
              <w:top w:val="single" w:sz="4" w:space="0" w:color="auto"/>
              <w:left w:val="nil"/>
              <w:bottom w:val="nil"/>
              <w:right w:val="nil"/>
            </w:tcBorders>
            <w:shd w:val="clear" w:color="000000" w:fill="FFFFFF"/>
            <w:noWrap/>
            <w:vAlign w:val="bottom"/>
            <w:hideMark/>
          </w:tcPr>
          <w:p w14:paraId="10905CEB"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GCP</w:t>
            </w:r>
          </w:p>
        </w:tc>
        <w:tc>
          <w:tcPr>
            <w:tcW w:w="1142" w:type="dxa"/>
            <w:tcBorders>
              <w:top w:val="single" w:sz="4" w:space="0" w:color="auto"/>
              <w:left w:val="nil"/>
              <w:bottom w:val="nil"/>
              <w:right w:val="nil"/>
            </w:tcBorders>
            <w:shd w:val="clear" w:color="000000" w:fill="FFFFFF"/>
            <w:noWrap/>
            <w:vAlign w:val="bottom"/>
            <w:hideMark/>
          </w:tcPr>
          <w:p w14:paraId="0D494B9C"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0.573</w:t>
            </w:r>
          </w:p>
        </w:tc>
        <w:tc>
          <w:tcPr>
            <w:tcW w:w="1112" w:type="dxa"/>
            <w:tcBorders>
              <w:top w:val="single" w:sz="4" w:space="0" w:color="auto"/>
              <w:left w:val="nil"/>
              <w:bottom w:val="nil"/>
              <w:right w:val="nil"/>
            </w:tcBorders>
            <w:shd w:val="clear" w:color="000000" w:fill="FFFFFF"/>
            <w:noWrap/>
            <w:vAlign w:val="bottom"/>
            <w:hideMark/>
          </w:tcPr>
          <w:p w14:paraId="4FE667E7"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0.809</w:t>
            </w:r>
          </w:p>
        </w:tc>
        <w:tc>
          <w:tcPr>
            <w:tcW w:w="1111" w:type="dxa"/>
            <w:tcBorders>
              <w:top w:val="single" w:sz="4" w:space="0" w:color="auto"/>
              <w:left w:val="nil"/>
              <w:bottom w:val="nil"/>
              <w:right w:val="nil"/>
            </w:tcBorders>
            <w:shd w:val="clear" w:color="000000" w:fill="FFFFFF"/>
            <w:noWrap/>
            <w:vAlign w:val="bottom"/>
            <w:hideMark/>
          </w:tcPr>
          <w:p w14:paraId="552CE6A7"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0.573</w:t>
            </w:r>
          </w:p>
        </w:tc>
        <w:tc>
          <w:tcPr>
            <w:tcW w:w="1111" w:type="dxa"/>
            <w:tcBorders>
              <w:top w:val="single" w:sz="4" w:space="0" w:color="auto"/>
              <w:left w:val="nil"/>
              <w:bottom w:val="nil"/>
              <w:right w:val="nil"/>
            </w:tcBorders>
            <w:shd w:val="clear" w:color="000000" w:fill="FFFFFF"/>
            <w:noWrap/>
            <w:vAlign w:val="bottom"/>
            <w:hideMark/>
          </w:tcPr>
          <w:p w14:paraId="3699776D"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0.586</w:t>
            </w:r>
          </w:p>
        </w:tc>
        <w:tc>
          <w:tcPr>
            <w:tcW w:w="1111" w:type="dxa"/>
            <w:tcBorders>
              <w:top w:val="single" w:sz="4" w:space="0" w:color="auto"/>
              <w:left w:val="nil"/>
              <w:bottom w:val="nil"/>
              <w:right w:val="nil"/>
            </w:tcBorders>
            <w:shd w:val="clear" w:color="000000" w:fill="FFFFFF"/>
            <w:noWrap/>
            <w:vAlign w:val="bottom"/>
            <w:hideMark/>
          </w:tcPr>
          <w:p w14:paraId="38875382"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0.300</w:t>
            </w:r>
          </w:p>
        </w:tc>
        <w:tc>
          <w:tcPr>
            <w:tcW w:w="1111" w:type="dxa"/>
            <w:tcBorders>
              <w:top w:val="single" w:sz="4" w:space="0" w:color="auto"/>
              <w:left w:val="nil"/>
              <w:bottom w:val="nil"/>
              <w:right w:val="nil"/>
            </w:tcBorders>
            <w:shd w:val="clear" w:color="000000" w:fill="FFFFFF"/>
            <w:noWrap/>
            <w:vAlign w:val="bottom"/>
            <w:hideMark/>
          </w:tcPr>
          <w:p w14:paraId="3A9B83EF"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0.092</w:t>
            </w:r>
          </w:p>
        </w:tc>
      </w:tr>
      <w:tr w:rsidR="007C1AFD" w:rsidRPr="007C1AFD" w14:paraId="75372B6A" w14:textId="77777777" w:rsidTr="006F164A">
        <w:trPr>
          <w:trHeight w:val="364"/>
        </w:trPr>
        <w:tc>
          <w:tcPr>
            <w:tcW w:w="2423" w:type="dxa"/>
            <w:tcBorders>
              <w:top w:val="nil"/>
              <w:left w:val="nil"/>
              <w:bottom w:val="nil"/>
              <w:right w:val="nil"/>
            </w:tcBorders>
            <w:shd w:val="clear" w:color="000000" w:fill="FFFFFF"/>
            <w:noWrap/>
            <w:vAlign w:val="bottom"/>
            <w:hideMark/>
          </w:tcPr>
          <w:p w14:paraId="4511F1BE"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Coral</w:t>
            </w:r>
          </w:p>
        </w:tc>
        <w:tc>
          <w:tcPr>
            <w:tcW w:w="1142" w:type="dxa"/>
            <w:tcBorders>
              <w:top w:val="nil"/>
              <w:left w:val="nil"/>
              <w:bottom w:val="nil"/>
              <w:right w:val="nil"/>
            </w:tcBorders>
            <w:shd w:val="clear" w:color="000000" w:fill="FFFFFF"/>
            <w:noWrap/>
            <w:vAlign w:val="bottom"/>
            <w:hideMark/>
          </w:tcPr>
          <w:p w14:paraId="5C73D55F"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0.557</w:t>
            </w:r>
          </w:p>
        </w:tc>
        <w:tc>
          <w:tcPr>
            <w:tcW w:w="1112" w:type="dxa"/>
            <w:tcBorders>
              <w:top w:val="nil"/>
              <w:left w:val="nil"/>
              <w:bottom w:val="nil"/>
              <w:right w:val="nil"/>
            </w:tcBorders>
            <w:shd w:val="clear" w:color="000000" w:fill="FFFFFF"/>
            <w:noWrap/>
            <w:vAlign w:val="bottom"/>
            <w:hideMark/>
          </w:tcPr>
          <w:p w14:paraId="62CD8510"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0.787</w:t>
            </w:r>
          </w:p>
        </w:tc>
        <w:tc>
          <w:tcPr>
            <w:tcW w:w="1111" w:type="dxa"/>
            <w:tcBorders>
              <w:top w:val="nil"/>
              <w:left w:val="nil"/>
              <w:bottom w:val="nil"/>
              <w:right w:val="nil"/>
            </w:tcBorders>
            <w:shd w:val="clear" w:color="000000" w:fill="FFFFFF"/>
            <w:noWrap/>
            <w:vAlign w:val="bottom"/>
            <w:hideMark/>
          </w:tcPr>
          <w:p w14:paraId="017691B4"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0.555</w:t>
            </w:r>
          </w:p>
        </w:tc>
        <w:tc>
          <w:tcPr>
            <w:tcW w:w="1111" w:type="dxa"/>
            <w:tcBorders>
              <w:top w:val="nil"/>
              <w:left w:val="nil"/>
              <w:bottom w:val="nil"/>
              <w:right w:val="nil"/>
            </w:tcBorders>
            <w:shd w:val="clear" w:color="000000" w:fill="FFFFFF"/>
            <w:noWrap/>
            <w:vAlign w:val="bottom"/>
            <w:hideMark/>
          </w:tcPr>
          <w:p w14:paraId="3CC06688"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0.563</w:t>
            </w:r>
          </w:p>
        </w:tc>
        <w:tc>
          <w:tcPr>
            <w:tcW w:w="1111" w:type="dxa"/>
            <w:tcBorders>
              <w:top w:val="nil"/>
              <w:left w:val="nil"/>
              <w:bottom w:val="nil"/>
              <w:right w:val="nil"/>
            </w:tcBorders>
            <w:shd w:val="clear" w:color="000000" w:fill="FFFFFF"/>
            <w:noWrap/>
            <w:vAlign w:val="bottom"/>
            <w:hideMark/>
          </w:tcPr>
          <w:p w14:paraId="3C2A3577"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0.285</w:t>
            </w:r>
          </w:p>
        </w:tc>
        <w:tc>
          <w:tcPr>
            <w:tcW w:w="1111" w:type="dxa"/>
            <w:tcBorders>
              <w:top w:val="nil"/>
              <w:left w:val="nil"/>
              <w:bottom w:val="nil"/>
              <w:right w:val="nil"/>
            </w:tcBorders>
            <w:shd w:val="clear" w:color="000000" w:fill="FFFFFF"/>
            <w:noWrap/>
            <w:vAlign w:val="bottom"/>
            <w:hideMark/>
          </w:tcPr>
          <w:p w14:paraId="3A51F52A"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0.086</w:t>
            </w:r>
          </w:p>
        </w:tc>
      </w:tr>
      <w:tr w:rsidR="007C1AFD" w:rsidRPr="007C1AFD" w14:paraId="0CF521BB" w14:textId="77777777" w:rsidTr="006F164A">
        <w:trPr>
          <w:trHeight w:val="364"/>
        </w:trPr>
        <w:tc>
          <w:tcPr>
            <w:tcW w:w="2423" w:type="dxa"/>
            <w:tcBorders>
              <w:top w:val="nil"/>
              <w:left w:val="nil"/>
              <w:bottom w:val="nil"/>
              <w:right w:val="nil"/>
            </w:tcBorders>
            <w:shd w:val="clear" w:color="000000" w:fill="FFFFFF"/>
            <w:noWrap/>
            <w:vAlign w:val="bottom"/>
            <w:hideMark/>
          </w:tcPr>
          <w:p w14:paraId="60897592"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CCA</w:t>
            </w:r>
          </w:p>
        </w:tc>
        <w:tc>
          <w:tcPr>
            <w:tcW w:w="1142" w:type="dxa"/>
            <w:tcBorders>
              <w:top w:val="nil"/>
              <w:left w:val="nil"/>
              <w:bottom w:val="nil"/>
              <w:right w:val="nil"/>
            </w:tcBorders>
            <w:shd w:val="clear" w:color="000000" w:fill="FFFFFF"/>
            <w:noWrap/>
            <w:vAlign w:val="bottom"/>
            <w:hideMark/>
          </w:tcPr>
          <w:p w14:paraId="147049D1"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0.006</w:t>
            </w:r>
          </w:p>
        </w:tc>
        <w:tc>
          <w:tcPr>
            <w:tcW w:w="1112" w:type="dxa"/>
            <w:tcBorders>
              <w:top w:val="nil"/>
              <w:left w:val="nil"/>
              <w:bottom w:val="nil"/>
              <w:right w:val="nil"/>
            </w:tcBorders>
            <w:shd w:val="clear" w:color="000000" w:fill="FFFFFF"/>
            <w:noWrap/>
            <w:vAlign w:val="bottom"/>
            <w:hideMark/>
          </w:tcPr>
          <w:p w14:paraId="32CCA05B"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0.013</w:t>
            </w:r>
          </w:p>
        </w:tc>
        <w:tc>
          <w:tcPr>
            <w:tcW w:w="1111" w:type="dxa"/>
            <w:tcBorders>
              <w:top w:val="nil"/>
              <w:left w:val="nil"/>
              <w:bottom w:val="nil"/>
              <w:right w:val="nil"/>
            </w:tcBorders>
            <w:shd w:val="clear" w:color="000000" w:fill="FFFFFF"/>
            <w:noWrap/>
            <w:vAlign w:val="bottom"/>
            <w:hideMark/>
          </w:tcPr>
          <w:p w14:paraId="6F309D32"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0.009</w:t>
            </w:r>
          </w:p>
        </w:tc>
        <w:tc>
          <w:tcPr>
            <w:tcW w:w="1111" w:type="dxa"/>
            <w:tcBorders>
              <w:top w:val="nil"/>
              <w:left w:val="nil"/>
              <w:bottom w:val="nil"/>
              <w:right w:val="nil"/>
            </w:tcBorders>
            <w:shd w:val="clear" w:color="000000" w:fill="FFFFFF"/>
            <w:noWrap/>
            <w:vAlign w:val="bottom"/>
            <w:hideMark/>
          </w:tcPr>
          <w:p w14:paraId="370B74B6"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0.010</w:t>
            </w:r>
          </w:p>
        </w:tc>
        <w:tc>
          <w:tcPr>
            <w:tcW w:w="1111" w:type="dxa"/>
            <w:tcBorders>
              <w:top w:val="nil"/>
              <w:left w:val="nil"/>
              <w:bottom w:val="nil"/>
              <w:right w:val="nil"/>
            </w:tcBorders>
            <w:shd w:val="clear" w:color="000000" w:fill="FFFFFF"/>
            <w:noWrap/>
            <w:vAlign w:val="bottom"/>
            <w:hideMark/>
          </w:tcPr>
          <w:p w14:paraId="4D89332C"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0.006</w:t>
            </w:r>
          </w:p>
        </w:tc>
        <w:tc>
          <w:tcPr>
            <w:tcW w:w="1111" w:type="dxa"/>
            <w:tcBorders>
              <w:top w:val="nil"/>
              <w:left w:val="nil"/>
              <w:bottom w:val="nil"/>
              <w:right w:val="nil"/>
            </w:tcBorders>
            <w:shd w:val="clear" w:color="000000" w:fill="FFFFFF"/>
            <w:noWrap/>
            <w:vAlign w:val="bottom"/>
            <w:hideMark/>
          </w:tcPr>
          <w:p w14:paraId="237CFCA6"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0.003</w:t>
            </w:r>
          </w:p>
        </w:tc>
      </w:tr>
      <w:tr w:rsidR="007C1AFD" w:rsidRPr="007C1AFD" w14:paraId="2848283B" w14:textId="77777777" w:rsidTr="006F164A">
        <w:trPr>
          <w:trHeight w:val="364"/>
        </w:trPr>
        <w:tc>
          <w:tcPr>
            <w:tcW w:w="2423" w:type="dxa"/>
            <w:tcBorders>
              <w:top w:val="nil"/>
              <w:left w:val="nil"/>
              <w:bottom w:val="nil"/>
              <w:right w:val="nil"/>
            </w:tcBorders>
            <w:shd w:val="clear" w:color="000000" w:fill="FFFFFF"/>
            <w:noWrap/>
            <w:vAlign w:val="bottom"/>
            <w:hideMark/>
          </w:tcPr>
          <w:p w14:paraId="331BC9F7"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Hydrocoral</w:t>
            </w:r>
          </w:p>
        </w:tc>
        <w:tc>
          <w:tcPr>
            <w:tcW w:w="1142" w:type="dxa"/>
            <w:tcBorders>
              <w:top w:val="nil"/>
              <w:left w:val="nil"/>
              <w:bottom w:val="nil"/>
              <w:right w:val="nil"/>
            </w:tcBorders>
            <w:shd w:val="clear" w:color="000000" w:fill="FFFFFF"/>
            <w:noWrap/>
            <w:vAlign w:val="bottom"/>
            <w:hideMark/>
          </w:tcPr>
          <w:p w14:paraId="4C1FEA10"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0.010</w:t>
            </w:r>
          </w:p>
        </w:tc>
        <w:tc>
          <w:tcPr>
            <w:tcW w:w="1112" w:type="dxa"/>
            <w:tcBorders>
              <w:top w:val="nil"/>
              <w:left w:val="nil"/>
              <w:bottom w:val="nil"/>
              <w:right w:val="nil"/>
            </w:tcBorders>
            <w:shd w:val="clear" w:color="000000" w:fill="FFFFFF"/>
            <w:noWrap/>
            <w:vAlign w:val="bottom"/>
            <w:hideMark/>
          </w:tcPr>
          <w:p w14:paraId="7F633FC6"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0.009</w:t>
            </w:r>
          </w:p>
        </w:tc>
        <w:tc>
          <w:tcPr>
            <w:tcW w:w="1111" w:type="dxa"/>
            <w:tcBorders>
              <w:top w:val="nil"/>
              <w:left w:val="nil"/>
              <w:bottom w:val="nil"/>
              <w:right w:val="nil"/>
            </w:tcBorders>
            <w:shd w:val="clear" w:color="000000" w:fill="FFFFFF"/>
            <w:noWrap/>
            <w:vAlign w:val="bottom"/>
            <w:hideMark/>
          </w:tcPr>
          <w:p w14:paraId="1D929893"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0.009</w:t>
            </w:r>
          </w:p>
        </w:tc>
        <w:tc>
          <w:tcPr>
            <w:tcW w:w="1111" w:type="dxa"/>
            <w:tcBorders>
              <w:top w:val="nil"/>
              <w:left w:val="nil"/>
              <w:bottom w:val="nil"/>
              <w:right w:val="nil"/>
            </w:tcBorders>
            <w:shd w:val="clear" w:color="000000" w:fill="FFFFFF"/>
            <w:noWrap/>
            <w:vAlign w:val="bottom"/>
            <w:hideMark/>
          </w:tcPr>
          <w:p w14:paraId="1BF40CCE"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0.013</w:t>
            </w:r>
          </w:p>
        </w:tc>
        <w:tc>
          <w:tcPr>
            <w:tcW w:w="1111" w:type="dxa"/>
            <w:tcBorders>
              <w:top w:val="nil"/>
              <w:left w:val="nil"/>
              <w:bottom w:val="nil"/>
              <w:right w:val="nil"/>
            </w:tcBorders>
            <w:shd w:val="clear" w:color="000000" w:fill="FFFFFF"/>
            <w:noWrap/>
            <w:vAlign w:val="bottom"/>
            <w:hideMark/>
          </w:tcPr>
          <w:p w14:paraId="7C9C06A9"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0.010</w:t>
            </w:r>
          </w:p>
        </w:tc>
        <w:tc>
          <w:tcPr>
            <w:tcW w:w="1111" w:type="dxa"/>
            <w:tcBorders>
              <w:top w:val="nil"/>
              <w:left w:val="nil"/>
              <w:bottom w:val="nil"/>
              <w:right w:val="nil"/>
            </w:tcBorders>
            <w:shd w:val="clear" w:color="000000" w:fill="FFFFFF"/>
            <w:noWrap/>
            <w:vAlign w:val="bottom"/>
            <w:hideMark/>
          </w:tcPr>
          <w:p w14:paraId="08B87AB5"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0.003</w:t>
            </w:r>
          </w:p>
        </w:tc>
      </w:tr>
      <w:tr w:rsidR="007C1AFD" w:rsidRPr="007C1AFD" w14:paraId="50412159" w14:textId="77777777" w:rsidTr="006F164A">
        <w:trPr>
          <w:trHeight w:val="364"/>
        </w:trPr>
        <w:tc>
          <w:tcPr>
            <w:tcW w:w="2423" w:type="dxa"/>
            <w:tcBorders>
              <w:top w:val="single" w:sz="4" w:space="0" w:color="auto"/>
              <w:left w:val="nil"/>
              <w:bottom w:val="nil"/>
              <w:right w:val="nil"/>
            </w:tcBorders>
            <w:shd w:val="clear" w:color="000000" w:fill="FFFFFF"/>
            <w:noWrap/>
            <w:vAlign w:val="bottom"/>
            <w:hideMark/>
          </w:tcPr>
          <w:p w14:paraId="733C14EE"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GCE</w:t>
            </w:r>
          </w:p>
        </w:tc>
        <w:tc>
          <w:tcPr>
            <w:tcW w:w="1142" w:type="dxa"/>
            <w:tcBorders>
              <w:top w:val="single" w:sz="4" w:space="0" w:color="auto"/>
              <w:left w:val="nil"/>
              <w:bottom w:val="nil"/>
              <w:right w:val="nil"/>
            </w:tcBorders>
            <w:shd w:val="clear" w:color="000000" w:fill="FFFFFF"/>
            <w:noWrap/>
            <w:vAlign w:val="bottom"/>
            <w:hideMark/>
          </w:tcPr>
          <w:p w14:paraId="62FBE2D3"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-0.596</w:t>
            </w:r>
          </w:p>
        </w:tc>
        <w:tc>
          <w:tcPr>
            <w:tcW w:w="1112" w:type="dxa"/>
            <w:tcBorders>
              <w:top w:val="single" w:sz="4" w:space="0" w:color="auto"/>
              <w:left w:val="nil"/>
              <w:bottom w:val="nil"/>
              <w:right w:val="nil"/>
            </w:tcBorders>
            <w:shd w:val="clear" w:color="000000" w:fill="FFFFFF"/>
            <w:noWrap/>
            <w:vAlign w:val="bottom"/>
            <w:hideMark/>
          </w:tcPr>
          <w:p w14:paraId="743995EF"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-0.767</w:t>
            </w:r>
          </w:p>
        </w:tc>
        <w:tc>
          <w:tcPr>
            <w:tcW w:w="1111" w:type="dxa"/>
            <w:tcBorders>
              <w:top w:val="single" w:sz="4" w:space="0" w:color="auto"/>
              <w:left w:val="nil"/>
              <w:bottom w:val="nil"/>
              <w:right w:val="nil"/>
            </w:tcBorders>
            <w:shd w:val="clear" w:color="000000" w:fill="FFFFFF"/>
            <w:noWrap/>
            <w:vAlign w:val="bottom"/>
            <w:hideMark/>
          </w:tcPr>
          <w:p w14:paraId="6039F77F"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-0.474</w:t>
            </w:r>
          </w:p>
        </w:tc>
        <w:tc>
          <w:tcPr>
            <w:tcW w:w="1111" w:type="dxa"/>
            <w:tcBorders>
              <w:top w:val="single" w:sz="4" w:space="0" w:color="auto"/>
              <w:left w:val="nil"/>
              <w:bottom w:val="nil"/>
              <w:right w:val="nil"/>
            </w:tcBorders>
            <w:shd w:val="clear" w:color="000000" w:fill="FFFFFF"/>
            <w:noWrap/>
            <w:vAlign w:val="bottom"/>
            <w:hideMark/>
          </w:tcPr>
          <w:p w14:paraId="2AD89EC7"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-0.984</w:t>
            </w:r>
          </w:p>
        </w:tc>
        <w:tc>
          <w:tcPr>
            <w:tcW w:w="1111" w:type="dxa"/>
            <w:tcBorders>
              <w:top w:val="single" w:sz="4" w:space="0" w:color="auto"/>
              <w:left w:val="nil"/>
              <w:bottom w:val="nil"/>
              <w:right w:val="nil"/>
            </w:tcBorders>
            <w:shd w:val="clear" w:color="000000" w:fill="FFFFFF"/>
            <w:noWrap/>
            <w:vAlign w:val="bottom"/>
            <w:hideMark/>
          </w:tcPr>
          <w:p w14:paraId="534FF163"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-0.530</w:t>
            </w:r>
          </w:p>
        </w:tc>
        <w:tc>
          <w:tcPr>
            <w:tcW w:w="1111" w:type="dxa"/>
            <w:tcBorders>
              <w:top w:val="single" w:sz="4" w:space="0" w:color="auto"/>
              <w:left w:val="nil"/>
              <w:bottom w:val="nil"/>
              <w:right w:val="nil"/>
            </w:tcBorders>
            <w:shd w:val="clear" w:color="000000" w:fill="FFFFFF"/>
            <w:noWrap/>
            <w:vAlign w:val="bottom"/>
            <w:hideMark/>
          </w:tcPr>
          <w:p w14:paraId="3CEC4C8A"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-0.606</w:t>
            </w:r>
          </w:p>
        </w:tc>
      </w:tr>
      <w:tr w:rsidR="007C1AFD" w:rsidRPr="007C1AFD" w14:paraId="420696E9" w14:textId="77777777" w:rsidTr="006F164A">
        <w:trPr>
          <w:trHeight w:val="364"/>
        </w:trPr>
        <w:tc>
          <w:tcPr>
            <w:tcW w:w="2423" w:type="dxa"/>
            <w:tcBorders>
              <w:top w:val="nil"/>
              <w:left w:val="nil"/>
              <w:bottom w:val="nil"/>
              <w:right w:val="nil"/>
            </w:tcBorders>
            <w:shd w:val="clear" w:color="000000" w:fill="FFFFFF"/>
            <w:noWrap/>
            <w:vAlign w:val="bottom"/>
            <w:hideMark/>
          </w:tcPr>
          <w:p w14:paraId="6DA93DA7"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Parrotfish</w:t>
            </w:r>
          </w:p>
        </w:tc>
        <w:tc>
          <w:tcPr>
            <w:tcW w:w="1142" w:type="dxa"/>
            <w:tcBorders>
              <w:top w:val="nil"/>
              <w:left w:val="nil"/>
              <w:bottom w:val="nil"/>
              <w:right w:val="nil"/>
            </w:tcBorders>
            <w:shd w:val="clear" w:color="000000" w:fill="FFFFFF"/>
            <w:noWrap/>
            <w:vAlign w:val="bottom"/>
            <w:hideMark/>
          </w:tcPr>
          <w:p w14:paraId="10AF2635"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-0.377</w:t>
            </w:r>
          </w:p>
        </w:tc>
        <w:tc>
          <w:tcPr>
            <w:tcW w:w="1112" w:type="dxa"/>
            <w:tcBorders>
              <w:top w:val="nil"/>
              <w:left w:val="nil"/>
              <w:bottom w:val="nil"/>
              <w:right w:val="nil"/>
            </w:tcBorders>
            <w:shd w:val="clear" w:color="000000" w:fill="FFFFFF"/>
            <w:noWrap/>
            <w:vAlign w:val="bottom"/>
            <w:hideMark/>
          </w:tcPr>
          <w:p w14:paraId="2A598085"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-0.551</w:t>
            </w:r>
          </w:p>
        </w:tc>
        <w:tc>
          <w:tcPr>
            <w:tcW w:w="1111" w:type="dxa"/>
            <w:tcBorders>
              <w:top w:val="nil"/>
              <w:left w:val="nil"/>
              <w:bottom w:val="nil"/>
              <w:right w:val="nil"/>
            </w:tcBorders>
            <w:shd w:val="clear" w:color="000000" w:fill="FFFFFF"/>
            <w:noWrap/>
            <w:vAlign w:val="bottom"/>
            <w:hideMark/>
          </w:tcPr>
          <w:p w14:paraId="46A429CF"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-0.265</w:t>
            </w:r>
          </w:p>
        </w:tc>
        <w:tc>
          <w:tcPr>
            <w:tcW w:w="1111" w:type="dxa"/>
            <w:tcBorders>
              <w:top w:val="nil"/>
              <w:left w:val="nil"/>
              <w:bottom w:val="nil"/>
              <w:right w:val="nil"/>
            </w:tcBorders>
            <w:shd w:val="clear" w:color="000000" w:fill="FFFFFF"/>
            <w:noWrap/>
            <w:vAlign w:val="bottom"/>
            <w:hideMark/>
          </w:tcPr>
          <w:p w14:paraId="22E4CC95"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-0.771</w:t>
            </w:r>
          </w:p>
        </w:tc>
        <w:tc>
          <w:tcPr>
            <w:tcW w:w="1111" w:type="dxa"/>
            <w:tcBorders>
              <w:top w:val="nil"/>
              <w:left w:val="nil"/>
              <w:bottom w:val="nil"/>
              <w:right w:val="nil"/>
            </w:tcBorders>
            <w:shd w:val="clear" w:color="000000" w:fill="FFFFFF"/>
            <w:noWrap/>
            <w:vAlign w:val="bottom"/>
            <w:hideMark/>
          </w:tcPr>
          <w:p w14:paraId="3E893690"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-0.329</w:t>
            </w:r>
          </w:p>
        </w:tc>
        <w:tc>
          <w:tcPr>
            <w:tcW w:w="1111" w:type="dxa"/>
            <w:tcBorders>
              <w:top w:val="nil"/>
              <w:left w:val="nil"/>
              <w:bottom w:val="nil"/>
              <w:right w:val="nil"/>
            </w:tcBorders>
            <w:shd w:val="clear" w:color="000000" w:fill="FFFFFF"/>
            <w:noWrap/>
            <w:vAlign w:val="bottom"/>
            <w:hideMark/>
          </w:tcPr>
          <w:p w14:paraId="30FF0243"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-0.319</w:t>
            </w:r>
          </w:p>
        </w:tc>
      </w:tr>
      <w:tr w:rsidR="007C1AFD" w:rsidRPr="007C1AFD" w14:paraId="5E75FCF7" w14:textId="77777777" w:rsidTr="006F164A">
        <w:trPr>
          <w:trHeight w:val="364"/>
        </w:trPr>
        <w:tc>
          <w:tcPr>
            <w:tcW w:w="2423" w:type="dxa"/>
            <w:tcBorders>
              <w:top w:val="nil"/>
              <w:left w:val="nil"/>
              <w:bottom w:val="nil"/>
              <w:right w:val="nil"/>
            </w:tcBorders>
            <w:shd w:val="clear" w:color="000000" w:fill="FFFFFF"/>
            <w:noWrap/>
            <w:vAlign w:val="bottom"/>
            <w:hideMark/>
          </w:tcPr>
          <w:p w14:paraId="11D848EE"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w:t>
            </w:r>
            <w:proofErr w:type="spellStart"/>
            <w:r w:rsidRPr="007C1AFD">
              <w:rPr>
                <w:rFonts w:ascii="Times New Roman" w:eastAsia="Times New Roman" w:hAnsi="Times New Roman" w:cs="Times New Roman"/>
                <w:color w:val="000000"/>
                <w:sz w:val="24"/>
                <w:szCs w:val="24"/>
              </w:rPr>
              <w:t>Macrobioerosion</w:t>
            </w:r>
            <w:proofErr w:type="spellEnd"/>
          </w:p>
        </w:tc>
        <w:tc>
          <w:tcPr>
            <w:tcW w:w="1142" w:type="dxa"/>
            <w:tcBorders>
              <w:top w:val="nil"/>
              <w:left w:val="nil"/>
              <w:bottom w:val="nil"/>
              <w:right w:val="nil"/>
            </w:tcBorders>
            <w:shd w:val="clear" w:color="000000" w:fill="FFFFFF"/>
            <w:noWrap/>
            <w:vAlign w:val="bottom"/>
            <w:hideMark/>
          </w:tcPr>
          <w:p w14:paraId="31729599"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&lt;0.000</w:t>
            </w:r>
          </w:p>
        </w:tc>
        <w:tc>
          <w:tcPr>
            <w:tcW w:w="1112" w:type="dxa"/>
            <w:tcBorders>
              <w:top w:val="nil"/>
              <w:left w:val="nil"/>
              <w:bottom w:val="nil"/>
              <w:right w:val="nil"/>
            </w:tcBorders>
            <w:shd w:val="clear" w:color="000000" w:fill="FFFFFF"/>
            <w:noWrap/>
            <w:vAlign w:val="bottom"/>
            <w:hideMark/>
          </w:tcPr>
          <w:p w14:paraId="13E1DED5"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&lt;0.000</w:t>
            </w:r>
          </w:p>
        </w:tc>
        <w:tc>
          <w:tcPr>
            <w:tcW w:w="1111" w:type="dxa"/>
            <w:tcBorders>
              <w:top w:val="nil"/>
              <w:left w:val="nil"/>
              <w:bottom w:val="nil"/>
              <w:right w:val="nil"/>
            </w:tcBorders>
            <w:shd w:val="clear" w:color="000000" w:fill="FFFFFF"/>
            <w:noWrap/>
            <w:vAlign w:val="bottom"/>
            <w:hideMark/>
          </w:tcPr>
          <w:p w14:paraId="5B2E5975"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&lt;0.000</w:t>
            </w:r>
          </w:p>
        </w:tc>
        <w:tc>
          <w:tcPr>
            <w:tcW w:w="1111" w:type="dxa"/>
            <w:tcBorders>
              <w:top w:val="nil"/>
              <w:left w:val="nil"/>
              <w:bottom w:val="nil"/>
              <w:right w:val="nil"/>
            </w:tcBorders>
            <w:shd w:val="clear" w:color="000000" w:fill="FFFFFF"/>
            <w:noWrap/>
            <w:vAlign w:val="bottom"/>
            <w:hideMark/>
          </w:tcPr>
          <w:p w14:paraId="1C2AD3AB"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&lt;0.000</w:t>
            </w:r>
          </w:p>
        </w:tc>
        <w:tc>
          <w:tcPr>
            <w:tcW w:w="1111" w:type="dxa"/>
            <w:tcBorders>
              <w:top w:val="nil"/>
              <w:left w:val="nil"/>
              <w:bottom w:val="nil"/>
              <w:right w:val="nil"/>
            </w:tcBorders>
            <w:shd w:val="clear" w:color="000000" w:fill="FFFFFF"/>
            <w:noWrap/>
            <w:vAlign w:val="bottom"/>
            <w:hideMark/>
          </w:tcPr>
          <w:p w14:paraId="32070BC2"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&lt;0.000</w:t>
            </w:r>
          </w:p>
        </w:tc>
        <w:tc>
          <w:tcPr>
            <w:tcW w:w="1111" w:type="dxa"/>
            <w:tcBorders>
              <w:top w:val="nil"/>
              <w:left w:val="nil"/>
              <w:bottom w:val="nil"/>
              <w:right w:val="nil"/>
            </w:tcBorders>
            <w:shd w:val="clear" w:color="000000" w:fill="FFFFFF"/>
            <w:noWrap/>
            <w:vAlign w:val="bottom"/>
            <w:hideMark/>
          </w:tcPr>
          <w:p w14:paraId="535AD3A3"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&lt;0.000</w:t>
            </w:r>
          </w:p>
        </w:tc>
      </w:tr>
      <w:tr w:rsidR="007C1AFD" w:rsidRPr="007C1AFD" w14:paraId="2A6C56E4" w14:textId="77777777" w:rsidTr="006F164A">
        <w:trPr>
          <w:trHeight w:val="364"/>
        </w:trPr>
        <w:tc>
          <w:tcPr>
            <w:tcW w:w="2423" w:type="dxa"/>
            <w:tcBorders>
              <w:top w:val="nil"/>
              <w:left w:val="nil"/>
              <w:bottom w:val="nil"/>
              <w:right w:val="nil"/>
            </w:tcBorders>
            <w:shd w:val="clear" w:color="000000" w:fill="FFFFFF"/>
            <w:noWrap/>
            <w:vAlign w:val="bottom"/>
            <w:hideMark/>
          </w:tcPr>
          <w:p w14:paraId="6F766705"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w:t>
            </w:r>
            <w:proofErr w:type="spellStart"/>
            <w:r w:rsidRPr="007C1AFD">
              <w:rPr>
                <w:rFonts w:ascii="Times New Roman" w:eastAsia="Times New Roman" w:hAnsi="Times New Roman" w:cs="Times New Roman"/>
                <w:color w:val="000000"/>
                <w:sz w:val="24"/>
                <w:szCs w:val="24"/>
              </w:rPr>
              <w:t>Microbioerosion</w:t>
            </w:r>
            <w:proofErr w:type="spellEnd"/>
          </w:p>
        </w:tc>
        <w:tc>
          <w:tcPr>
            <w:tcW w:w="1142" w:type="dxa"/>
            <w:tcBorders>
              <w:top w:val="nil"/>
              <w:left w:val="nil"/>
              <w:bottom w:val="nil"/>
              <w:right w:val="nil"/>
            </w:tcBorders>
            <w:shd w:val="clear" w:color="000000" w:fill="FFFFFF"/>
            <w:noWrap/>
            <w:vAlign w:val="bottom"/>
            <w:hideMark/>
          </w:tcPr>
          <w:p w14:paraId="2C5B1C1C"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-0.217</w:t>
            </w:r>
          </w:p>
        </w:tc>
        <w:tc>
          <w:tcPr>
            <w:tcW w:w="1112" w:type="dxa"/>
            <w:tcBorders>
              <w:top w:val="nil"/>
              <w:left w:val="nil"/>
              <w:bottom w:val="nil"/>
              <w:right w:val="nil"/>
            </w:tcBorders>
            <w:shd w:val="clear" w:color="000000" w:fill="FFFFFF"/>
            <w:noWrap/>
            <w:vAlign w:val="bottom"/>
            <w:hideMark/>
          </w:tcPr>
          <w:p w14:paraId="3E522A39"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-0.215</w:t>
            </w:r>
          </w:p>
        </w:tc>
        <w:tc>
          <w:tcPr>
            <w:tcW w:w="1111" w:type="dxa"/>
            <w:tcBorders>
              <w:top w:val="nil"/>
              <w:left w:val="nil"/>
              <w:bottom w:val="nil"/>
              <w:right w:val="nil"/>
            </w:tcBorders>
            <w:shd w:val="clear" w:color="000000" w:fill="FFFFFF"/>
            <w:noWrap/>
            <w:vAlign w:val="bottom"/>
            <w:hideMark/>
          </w:tcPr>
          <w:p w14:paraId="712AB48E"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-0.208</w:t>
            </w:r>
          </w:p>
        </w:tc>
        <w:tc>
          <w:tcPr>
            <w:tcW w:w="1111" w:type="dxa"/>
            <w:tcBorders>
              <w:top w:val="nil"/>
              <w:left w:val="nil"/>
              <w:bottom w:val="nil"/>
              <w:right w:val="nil"/>
            </w:tcBorders>
            <w:shd w:val="clear" w:color="000000" w:fill="FFFFFF"/>
            <w:noWrap/>
            <w:vAlign w:val="bottom"/>
            <w:hideMark/>
          </w:tcPr>
          <w:p w14:paraId="0E5DA25A"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-0.213</w:t>
            </w:r>
          </w:p>
        </w:tc>
        <w:tc>
          <w:tcPr>
            <w:tcW w:w="1111" w:type="dxa"/>
            <w:tcBorders>
              <w:top w:val="nil"/>
              <w:left w:val="nil"/>
              <w:bottom w:val="nil"/>
              <w:right w:val="nil"/>
            </w:tcBorders>
            <w:shd w:val="clear" w:color="000000" w:fill="FFFFFF"/>
            <w:noWrap/>
            <w:vAlign w:val="bottom"/>
            <w:hideMark/>
          </w:tcPr>
          <w:p w14:paraId="392A066D"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-0.194</w:t>
            </w:r>
          </w:p>
        </w:tc>
        <w:tc>
          <w:tcPr>
            <w:tcW w:w="1111" w:type="dxa"/>
            <w:tcBorders>
              <w:top w:val="nil"/>
              <w:left w:val="nil"/>
              <w:bottom w:val="nil"/>
              <w:right w:val="nil"/>
            </w:tcBorders>
            <w:shd w:val="clear" w:color="000000" w:fill="FFFFFF"/>
            <w:noWrap/>
            <w:vAlign w:val="bottom"/>
            <w:hideMark/>
          </w:tcPr>
          <w:p w14:paraId="1C455220"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-0.286</w:t>
            </w:r>
          </w:p>
        </w:tc>
      </w:tr>
      <w:tr w:rsidR="007C1AFD" w:rsidRPr="007C1AFD" w14:paraId="0CA4B886" w14:textId="77777777" w:rsidTr="006F164A">
        <w:trPr>
          <w:trHeight w:val="364"/>
        </w:trPr>
        <w:tc>
          <w:tcPr>
            <w:tcW w:w="2423" w:type="dxa"/>
            <w:tcBorders>
              <w:top w:val="nil"/>
              <w:left w:val="nil"/>
              <w:bottom w:val="single" w:sz="4" w:space="0" w:color="auto"/>
              <w:right w:val="nil"/>
            </w:tcBorders>
            <w:shd w:val="clear" w:color="000000" w:fill="FFFFFF"/>
            <w:noWrap/>
            <w:vAlign w:val="bottom"/>
            <w:hideMark/>
          </w:tcPr>
          <w:p w14:paraId="194E2453"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Diadema</w:t>
            </w:r>
          </w:p>
        </w:tc>
        <w:tc>
          <w:tcPr>
            <w:tcW w:w="1142" w:type="dxa"/>
            <w:tcBorders>
              <w:top w:val="nil"/>
              <w:left w:val="nil"/>
              <w:bottom w:val="single" w:sz="4" w:space="0" w:color="auto"/>
              <w:right w:val="nil"/>
            </w:tcBorders>
            <w:shd w:val="clear" w:color="000000" w:fill="FFFFFF"/>
            <w:noWrap/>
            <w:vAlign w:val="bottom"/>
            <w:hideMark/>
          </w:tcPr>
          <w:p w14:paraId="65D4402B"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-0.003</w:t>
            </w:r>
          </w:p>
        </w:tc>
        <w:tc>
          <w:tcPr>
            <w:tcW w:w="1112" w:type="dxa"/>
            <w:tcBorders>
              <w:top w:val="nil"/>
              <w:left w:val="nil"/>
              <w:bottom w:val="single" w:sz="4" w:space="0" w:color="auto"/>
              <w:right w:val="nil"/>
            </w:tcBorders>
            <w:shd w:val="clear" w:color="000000" w:fill="FFFFFF"/>
            <w:noWrap/>
            <w:vAlign w:val="bottom"/>
            <w:hideMark/>
          </w:tcPr>
          <w:p w14:paraId="1AAE9E6B"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-0.001</w:t>
            </w:r>
          </w:p>
        </w:tc>
        <w:tc>
          <w:tcPr>
            <w:tcW w:w="1111" w:type="dxa"/>
            <w:tcBorders>
              <w:top w:val="nil"/>
              <w:left w:val="nil"/>
              <w:bottom w:val="single" w:sz="4" w:space="0" w:color="auto"/>
              <w:right w:val="nil"/>
            </w:tcBorders>
            <w:shd w:val="clear" w:color="000000" w:fill="FFFFFF"/>
            <w:noWrap/>
            <w:vAlign w:val="bottom"/>
            <w:hideMark/>
          </w:tcPr>
          <w:p w14:paraId="38003ED2"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-0.001</w:t>
            </w:r>
          </w:p>
        </w:tc>
        <w:tc>
          <w:tcPr>
            <w:tcW w:w="1111" w:type="dxa"/>
            <w:tcBorders>
              <w:top w:val="nil"/>
              <w:left w:val="nil"/>
              <w:bottom w:val="single" w:sz="4" w:space="0" w:color="auto"/>
              <w:right w:val="nil"/>
            </w:tcBorders>
            <w:shd w:val="clear" w:color="000000" w:fill="FFFFFF"/>
            <w:noWrap/>
            <w:vAlign w:val="bottom"/>
            <w:hideMark/>
          </w:tcPr>
          <w:p w14:paraId="7C76D0DB"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-0.001</w:t>
            </w:r>
          </w:p>
        </w:tc>
        <w:tc>
          <w:tcPr>
            <w:tcW w:w="1111" w:type="dxa"/>
            <w:tcBorders>
              <w:top w:val="nil"/>
              <w:left w:val="nil"/>
              <w:bottom w:val="single" w:sz="4" w:space="0" w:color="auto"/>
              <w:right w:val="nil"/>
            </w:tcBorders>
            <w:shd w:val="clear" w:color="000000" w:fill="FFFFFF"/>
            <w:noWrap/>
            <w:vAlign w:val="bottom"/>
            <w:hideMark/>
          </w:tcPr>
          <w:p w14:paraId="75376834"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-0.001</w:t>
            </w:r>
          </w:p>
        </w:tc>
        <w:tc>
          <w:tcPr>
            <w:tcW w:w="1111" w:type="dxa"/>
            <w:tcBorders>
              <w:top w:val="nil"/>
              <w:left w:val="nil"/>
              <w:bottom w:val="single" w:sz="4" w:space="0" w:color="auto"/>
              <w:right w:val="nil"/>
            </w:tcBorders>
            <w:shd w:val="clear" w:color="000000" w:fill="FFFFFF"/>
            <w:noWrap/>
            <w:vAlign w:val="bottom"/>
            <w:hideMark/>
          </w:tcPr>
          <w:p w14:paraId="69A57C76" w14:textId="77777777" w:rsidR="007C1AFD" w:rsidRPr="007C1AFD" w:rsidRDefault="007C1AFD" w:rsidP="007C1AFD">
            <w:pPr>
              <w:spacing w:after="0" w:line="240" w:lineRule="auto"/>
              <w:jc w:val="center"/>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0.000</w:t>
            </w:r>
          </w:p>
        </w:tc>
      </w:tr>
    </w:tbl>
    <w:p w14:paraId="2647B79C" w14:textId="5AC2510B" w:rsidR="007F2D87" w:rsidRDefault="007F2D87" w:rsidP="00276DDE">
      <w:pPr>
        <w:spacing w:after="0" w:line="240" w:lineRule="auto"/>
        <w:rPr>
          <w:rFonts w:ascii="Times New Roman" w:eastAsia="Times New Roman" w:hAnsi="Times New Roman" w:cs="Calibri"/>
          <w:sz w:val="24"/>
          <w:szCs w:val="24"/>
        </w:rPr>
      </w:pPr>
    </w:p>
    <w:p w14:paraId="6BABE7E3" w14:textId="77777777" w:rsidR="007F2D87" w:rsidRDefault="007F2D87">
      <w:pPr>
        <w:rPr>
          <w:rFonts w:ascii="Times New Roman" w:eastAsia="Times New Roman" w:hAnsi="Times New Roman" w:cs="Calibri"/>
          <w:sz w:val="24"/>
          <w:szCs w:val="24"/>
        </w:rPr>
      </w:pPr>
      <w:r>
        <w:rPr>
          <w:rFonts w:ascii="Times New Roman" w:eastAsia="Times New Roman" w:hAnsi="Times New Roman" w:cs="Calibri"/>
          <w:sz w:val="24"/>
          <w:szCs w:val="24"/>
        </w:rPr>
        <w:br w:type="page"/>
      </w:r>
    </w:p>
    <w:p w14:paraId="03A2E9F4" w14:textId="77777777" w:rsidR="00276DDE" w:rsidRPr="00276DDE" w:rsidRDefault="00276DDE" w:rsidP="00276DDE">
      <w:pPr>
        <w:spacing w:after="0" w:line="240" w:lineRule="auto"/>
        <w:rPr>
          <w:rFonts w:ascii="Times New Roman" w:eastAsia="Times New Roman" w:hAnsi="Times New Roman" w:cs="Times New Roman"/>
          <w:sz w:val="24"/>
          <w:szCs w:val="24"/>
        </w:rPr>
      </w:pPr>
      <w:bookmarkStart w:id="0" w:name="_GoBack"/>
      <w:bookmarkEnd w:id="0"/>
      <w:r w:rsidRPr="00276DDE">
        <w:rPr>
          <w:rFonts w:ascii="Times New Roman" w:eastAsia="Times New Roman" w:hAnsi="Times New Roman" w:cs="Times New Roman"/>
          <w:b/>
          <w:sz w:val="24"/>
          <w:szCs w:val="24"/>
        </w:rPr>
        <w:lastRenderedPageBreak/>
        <w:t>Table S2 |</w:t>
      </w:r>
      <w:r w:rsidRPr="00276DDE">
        <w:rPr>
          <w:rFonts w:ascii="Times New Roman" w:eastAsia="Times New Roman" w:hAnsi="Times New Roman" w:cs="Times New Roman"/>
          <w:sz w:val="24"/>
          <w:szCs w:val="24"/>
        </w:rPr>
        <w:t xml:space="preserve"> Model parameters utilized in the carbonate budget analysis of South Florida reef systems, along with the geographic region where the parameters were collected (i.e., Region) and the source of the data (i.e., Reference). </w:t>
      </w:r>
    </w:p>
    <w:tbl>
      <w:tblPr>
        <w:tblW w:w="8186" w:type="dxa"/>
        <w:tblLook w:val="04A0" w:firstRow="1" w:lastRow="0" w:firstColumn="1" w:lastColumn="0" w:noHBand="0" w:noVBand="1"/>
      </w:tblPr>
      <w:tblGrid>
        <w:gridCol w:w="3185"/>
        <w:gridCol w:w="2377"/>
        <w:gridCol w:w="2624"/>
      </w:tblGrid>
      <w:tr w:rsidR="007C1AFD" w:rsidRPr="007C1AFD" w14:paraId="363F4C94" w14:textId="77777777" w:rsidTr="006F164A">
        <w:trPr>
          <w:trHeight w:val="368"/>
        </w:trPr>
        <w:tc>
          <w:tcPr>
            <w:tcW w:w="3185" w:type="dxa"/>
            <w:tcBorders>
              <w:top w:val="nil"/>
              <w:left w:val="nil"/>
              <w:bottom w:val="single" w:sz="4" w:space="0" w:color="auto"/>
              <w:right w:val="nil"/>
            </w:tcBorders>
            <w:shd w:val="clear" w:color="000000" w:fill="FFFFFF"/>
            <w:noWrap/>
            <w:vAlign w:val="bottom"/>
            <w:hideMark/>
          </w:tcPr>
          <w:p w14:paraId="1BF5D8A2"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Parameter</w:t>
            </w:r>
          </w:p>
        </w:tc>
        <w:tc>
          <w:tcPr>
            <w:tcW w:w="2377" w:type="dxa"/>
            <w:tcBorders>
              <w:top w:val="nil"/>
              <w:left w:val="nil"/>
              <w:bottom w:val="single" w:sz="4" w:space="0" w:color="auto"/>
              <w:right w:val="nil"/>
            </w:tcBorders>
            <w:shd w:val="clear" w:color="000000" w:fill="FFFFFF"/>
            <w:noWrap/>
            <w:vAlign w:val="bottom"/>
            <w:hideMark/>
          </w:tcPr>
          <w:p w14:paraId="41849206"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Region</w:t>
            </w:r>
          </w:p>
        </w:tc>
        <w:tc>
          <w:tcPr>
            <w:tcW w:w="2624" w:type="dxa"/>
            <w:tcBorders>
              <w:top w:val="nil"/>
              <w:left w:val="nil"/>
              <w:bottom w:val="single" w:sz="4" w:space="0" w:color="auto"/>
              <w:right w:val="nil"/>
            </w:tcBorders>
            <w:shd w:val="clear" w:color="000000" w:fill="FFFFFF"/>
            <w:noWrap/>
            <w:vAlign w:val="bottom"/>
            <w:hideMark/>
          </w:tcPr>
          <w:p w14:paraId="15E2BB7C" w14:textId="77777777" w:rsidR="007C1AFD" w:rsidRPr="007C1AFD" w:rsidRDefault="007C1AFD" w:rsidP="007C1AFD">
            <w:pPr>
              <w:spacing w:after="0" w:line="240" w:lineRule="auto"/>
              <w:jc w:val="center"/>
              <w:rPr>
                <w:rFonts w:ascii="Times New Roman" w:eastAsia="Times New Roman" w:hAnsi="Times New Roman" w:cs="Times New Roman"/>
                <w:b/>
                <w:bCs/>
                <w:color w:val="000000"/>
                <w:sz w:val="24"/>
                <w:szCs w:val="24"/>
              </w:rPr>
            </w:pPr>
            <w:r w:rsidRPr="007C1AFD">
              <w:rPr>
                <w:rFonts w:ascii="Times New Roman" w:eastAsia="Times New Roman" w:hAnsi="Times New Roman" w:cs="Times New Roman"/>
                <w:b/>
                <w:bCs/>
                <w:color w:val="000000"/>
                <w:sz w:val="24"/>
                <w:szCs w:val="24"/>
              </w:rPr>
              <w:t>Reference</w:t>
            </w:r>
          </w:p>
        </w:tc>
      </w:tr>
      <w:tr w:rsidR="007C1AFD" w:rsidRPr="007C1AFD" w14:paraId="6393F3C8" w14:textId="77777777" w:rsidTr="006F164A">
        <w:trPr>
          <w:trHeight w:val="368"/>
        </w:trPr>
        <w:tc>
          <w:tcPr>
            <w:tcW w:w="3185" w:type="dxa"/>
            <w:tcBorders>
              <w:top w:val="nil"/>
              <w:left w:val="nil"/>
              <w:bottom w:val="nil"/>
              <w:right w:val="nil"/>
            </w:tcBorders>
            <w:shd w:val="clear" w:color="000000" w:fill="FFFFFF"/>
            <w:noWrap/>
            <w:vAlign w:val="bottom"/>
            <w:hideMark/>
          </w:tcPr>
          <w:p w14:paraId="35699D03"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Coral</w:t>
            </w:r>
          </w:p>
        </w:tc>
        <w:tc>
          <w:tcPr>
            <w:tcW w:w="2377" w:type="dxa"/>
            <w:tcBorders>
              <w:top w:val="nil"/>
              <w:left w:val="nil"/>
              <w:bottom w:val="nil"/>
              <w:right w:val="nil"/>
            </w:tcBorders>
            <w:shd w:val="clear" w:color="000000" w:fill="FFFFFF"/>
            <w:noWrap/>
            <w:vAlign w:val="bottom"/>
            <w:hideMark/>
          </w:tcPr>
          <w:p w14:paraId="2FB94E5D"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c>
          <w:tcPr>
            <w:tcW w:w="2624" w:type="dxa"/>
            <w:tcBorders>
              <w:top w:val="nil"/>
              <w:left w:val="nil"/>
              <w:bottom w:val="nil"/>
              <w:right w:val="nil"/>
            </w:tcBorders>
            <w:shd w:val="clear" w:color="000000" w:fill="FFFFFF"/>
            <w:noWrap/>
            <w:vAlign w:val="bottom"/>
            <w:hideMark/>
          </w:tcPr>
          <w:p w14:paraId="73000A31"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r>
      <w:tr w:rsidR="007C1AFD" w:rsidRPr="007C1AFD" w14:paraId="2833FCE4" w14:textId="77777777" w:rsidTr="006F164A">
        <w:trPr>
          <w:trHeight w:val="368"/>
        </w:trPr>
        <w:tc>
          <w:tcPr>
            <w:tcW w:w="3185" w:type="dxa"/>
            <w:tcBorders>
              <w:top w:val="nil"/>
              <w:left w:val="nil"/>
              <w:bottom w:val="nil"/>
              <w:right w:val="nil"/>
            </w:tcBorders>
            <w:shd w:val="clear" w:color="000000" w:fill="FFFFFF"/>
            <w:noWrap/>
            <w:vAlign w:val="bottom"/>
            <w:hideMark/>
          </w:tcPr>
          <w:p w14:paraId="3DFC34C5"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 Cover</w:t>
            </w:r>
          </w:p>
        </w:tc>
        <w:tc>
          <w:tcPr>
            <w:tcW w:w="2377" w:type="dxa"/>
            <w:tcBorders>
              <w:top w:val="nil"/>
              <w:left w:val="nil"/>
              <w:bottom w:val="nil"/>
              <w:right w:val="nil"/>
            </w:tcBorders>
            <w:shd w:val="clear" w:color="000000" w:fill="FFFFFF"/>
            <w:noWrap/>
            <w:vAlign w:val="bottom"/>
            <w:hideMark/>
          </w:tcPr>
          <w:p w14:paraId="0F813FBD"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Florida Keys</w:t>
            </w:r>
          </w:p>
        </w:tc>
        <w:tc>
          <w:tcPr>
            <w:tcW w:w="2624" w:type="dxa"/>
            <w:tcBorders>
              <w:top w:val="nil"/>
              <w:left w:val="nil"/>
              <w:bottom w:val="nil"/>
              <w:right w:val="nil"/>
            </w:tcBorders>
            <w:shd w:val="clear" w:color="000000" w:fill="FFFFFF"/>
            <w:noWrap/>
            <w:vAlign w:val="bottom"/>
            <w:hideMark/>
          </w:tcPr>
          <w:p w14:paraId="6C76E4CA"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NCRMP</w:t>
            </w:r>
          </w:p>
        </w:tc>
      </w:tr>
      <w:tr w:rsidR="007C1AFD" w:rsidRPr="007C1AFD" w14:paraId="0C4C1594" w14:textId="77777777" w:rsidTr="006F164A">
        <w:trPr>
          <w:trHeight w:val="368"/>
        </w:trPr>
        <w:tc>
          <w:tcPr>
            <w:tcW w:w="3185" w:type="dxa"/>
            <w:tcBorders>
              <w:top w:val="nil"/>
              <w:left w:val="nil"/>
              <w:bottom w:val="nil"/>
              <w:right w:val="nil"/>
            </w:tcBorders>
            <w:shd w:val="clear" w:color="000000" w:fill="FFFFFF"/>
            <w:noWrap/>
            <w:vAlign w:val="bottom"/>
            <w:hideMark/>
          </w:tcPr>
          <w:p w14:paraId="6D7972B2"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Calcification</w:t>
            </w:r>
          </w:p>
        </w:tc>
        <w:tc>
          <w:tcPr>
            <w:tcW w:w="2377" w:type="dxa"/>
            <w:tcBorders>
              <w:top w:val="nil"/>
              <w:left w:val="nil"/>
              <w:bottom w:val="nil"/>
              <w:right w:val="nil"/>
            </w:tcBorders>
            <w:shd w:val="clear" w:color="000000" w:fill="FFFFFF"/>
            <w:noWrap/>
            <w:vAlign w:val="bottom"/>
            <w:hideMark/>
          </w:tcPr>
          <w:p w14:paraId="6731F585"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Atlantic/Caribbean</w:t>
            </w:r>
          </w:p>
        </w:tc>
        <w:tc>
          <w:tcPr>
            <w:tcW w:w="2624" w:type="dxa"/>
            <w:tcBorders>
              <w:top w:val="nil"/>
              <w:left w:val="nil"/>
              <w:bottom w:val="nil"/>
              <w:right w:val="nil"/>
            </w:tcBorders>
            <w:shd w:val="clear" w:color="000000" w:fill="FFFFFF"/>
            <w:noWrap/>
            <w:vAlign w:val="bottom"/>
            <w:hideMark/>
          </w:tcPr>
          <w:p w14:paraId="02A4EE06"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Perry et al. 2012</w:t>
            </w:r>
          </w:p>
        </w:tc>
      </w:tr>
      <w:tr w:rsidR="007C1AFD" w:rsidRPr="007C1AFD" w14:paraId="0A034041" w14:textId="77777777" w:rsidTr="006F164A">
        <w:trPr>
          <w:trHeight w:val="368"/>
        </w:trPr>
        <w:tc>
          <w:tcPr>
            <w:tcW w:w="3185" w:type="dxa"/>
            <w:tcBorders>
              <w:top w:val="nil"/>
              <w:left w:val="nil"/>
              <w:bottom w:val="nil"/>
              <w:right w:val="nil"/>
            </w:tcBorders>
            <w:shd w:val="clear" w:color="000000" w:fill="FFFFFF"/>
            <w:noWrap/>
            <w:vAlign w:val="bottom"/>
            <w:hideMark/>
          </w:tcPr>
          <w:p w14:paraId="5DE4877D"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CCA</w:t>
            </w:r>
          </w:p>
        </w:tc>
        <w:tc>
          <w:tcPr>
            <w:tcW w:w="2377" w:type="dxa"/>
            <w:tcBorders>
              <w:top w:val="nil"/>
              <w:left w:val="nil"/>
              <w:bottom w:val="nil"/>
              <w:right w:val="nil"/>
            </w:tcBorders>
            <w:shd w:val="clear" w:color="000000" w:fill="FFFFFF"/>
            <w:noWrap/>
            <w:vAlign w:val="bottom"/>
            <w:hideMark/>
          </w:tcPr>
          <w:p w14:paraId="232EA423"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c>
          <w:tcPr>
            <w:tcW w:w="2624" w:type="dxa"/>
            <w:tcBorders>
              <w:top w:val="nil"/>
              <w:left w:val="nil"/>
              <w:bottom w:val="nil"/>
              <w:right w:val="nil"/>
            </w:tcBorders>
            <w:shd w:val="clear" w:color="000000" w:fill="FFFFFF"/>
            <w:noWrap/>
            <w:vAlign w:val="bottom"/>
            <w:hideMark/>
          </w:tcPr>
          <w:p w14:paraId="4F5BA62F"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r>
      <w:tr w:rsidR="007C1AFD" w:rsidRPr="007C1AFD" w14:paraId="7482C56A" w14:textId="77777777" w:rsidTr="006F164A">
        <w:trPr>
          <w:trHeight w:val="368"/>
        </w:trPr>
        <w:tc>
          <w:tcPr>
            <w:tcW w:w="3185" w:type="dxa"/>
            <w:tcBorders>
              <w:top w:val="nil"/>
              <w:left w:val="nil"/>
              <w:bottom w:val="nil"/>
              <w:right w:val="nil"/>
            </w:tcBorders>
            <w:shd w:val="clear" w:color="000000" w:fill="FFFFFF"/>
            <w:noWrap/>
            <w:vAlign w:val="bottom"/>
            <w:hideMark/>
          </w:tcPr>
          <w:p w14:paraId="39C4B5A9"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 Cover</w:t>
            </w:r>
          </w:p>
        </w:tc>
        <w:tc>
          <w:tcPr>
            <w:tcW w:w="2377" w:type="dxa"/>
            <w:tcBorders>
              <w:top w:val="nil"/>
              <w:left w:val="nil"/>
              <w:bottom w:val="nil"/>
              <w:right w:val="nil"/>
            </w:tcBorders>
            <w:shd w:val="clear" w:color="000000" w:fill="FFFFFF"/>
            <w:noWrap/>
            <w:vAlign w:val="bottom"/>
            <w:hideMark/>
          </w:tcPr>
          <w:p w14:paraId="4A79E923"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Florida Keys</w:t>
            </w:r>
          </w:p>
        </w:tc>
        <w:tc>
          <w:tcPr>
            <w:tcW w:w="2624" w:type="dxa"/>
            <w:tcBorders>
              <w:top w:val="nil"/>
              <w:left w:val="nil"/>
              <w:bottom w:val="nil"/>
              <w:right w:val="nil"/>
            </w:tcBorders>
            <w:shd w:val="clear" w:color="000000" w:fill="FFFFFF"/>
            <w:noWrap/>
            <w:vAlign w:val="bottom"/>
            <w:hideMark/>
          </w:tcPr>
          <w:p w14:paraId="41F1CE43"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NCRMP</w:t>
            </w:r>
          </w:p>
        </w:tc>
      </w:tr>
      <w:tr w:rsidR="007C1AFD" w:rsidRPr="007C1AFD" w14:paraId="66F5019A" w14:textId="77777777" w:rsidTr="006F164A">
        <w:trPr>
          <w:trHeight w:val="368"/>
        </w:trPr>
        <w:tc>
          <w:tcPr>
            <w:tcW w:w="3185" w:type="dxa"/>
            <w:tcBorders>
              <w:top w:val="nil"/>
              <w:left w:val="nil"/>
              <w:bottom w:val="nil"/>
              <w:right w:val="nil"/>
            </w:tcBorders>
            <w:shd w:val="clear" w:color="000000" w:fill="FFFFFF"/>
            <w:noWrap/>
            <w:vAlign w:val="bottom"/>
            <w:hideMark/>
          </w:tcPr>
          <w:p w14:paraId="57DC74FC"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Calcification</w:t>
            </w:r>
          </w:p>
        </w:tc>
        <w:tc>
          <w:tcPr>
            <w:tcW w:w="2377" w:type="dxa"/>
            <w:tcBorders>
              <w:top w:val="nil"/>
              <w:left w:val="nil"/>
              <w:bottom w:val="nil"/>
              <w:right w:val="nil"/>
            </w:tcBorders>
            <w:shd w:val="clear" w:color="000000" w:fill="FFFFFF"/>
            <w:noWrap/>
            <w:vAlign w:val="bottom"/>
            <w:hideMark/>
          </w:tcPr>
          <w:p w14:paraId="3F80BC97"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Generalized</w:t>
            </w:r>
          </w:p>
        </w:tc>
        <w:tc>
          <w:tcPr>
            <w:tcW w:w="2624" w:type="dxa"/>
            <w:tcBorders>
              <w:top w:val="nil"/>
              <w:left w:val="nil"/>
              <w:bottom w:val="nil"/>
              <w:right w:val="nil"/>
            </w:tcBorders>
            <w:shd w:val="clear" w:color="000000" w:fill="FFFFFF"/>
            <w:noWrap/>
            <w:vAlign w:val="bottom"/>
            <w:hideMark/>
          </w:tcPr>
          <w:p w14:paraId="48CFCCEA"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Perry et al. 2012</w:t>
            </w:r>
          </w:p>
        </w:tc>
      </w:tr>
      <w:tr w:rsidR="007C1AFD" w:rsidRPr="007C1AFD" w14:paraId="13C55108" w14:textId="77777777" w:rsidTr="006F164A">
        <w:trPr>
          <w:trHeight w:val="368"/>
        </w:trPr>
        <w:tc>
          <w:tcPr>
            <w:tcW w:w="3185" w:type="dxa"/>
            <w:tcBorders>
              <w:top w:val="nil"/>
              <w:left w:val="nil"/>
              <w:bottom w:val="nil"/>
              <w:right w:val="nil"/>
            </w:tcBorders>
            <w:shd w:val="clear" w:color="000000" w:fill="FFFFFF"/>
            <w:noWrap/>
            <w:vAlign w:val="bottom"/>
            <w:hideMark/>
          </w:tcPr>
          <w:p w14:paraId="604B4D8E"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Endolithic Algae</w:t>
            </w:r>
          </w:p>
        </w:tc>
        <w:tc>
          <w:tcPr>
            <w:tcW w:w="2377" w:type="dxa"/>
            <w:tcBorders>
              <w:top w:val="nil"/>
              <w:left w:val="nil"/>
              <w:bottom w:val="nil"/>
              <w:right w:val="nil"/>
            </w:tcBorders>
            <w:shd w:val="clear" w:color="000000" w:fill="FFFFFF"/>
            <w:noWrap/>
            <w:vAlign w:val="bottom"/>
            <w:hideMark/>
          </w:tcPr>
          <w:p w14:paraId="43EB2DE8"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c>
          <w:tcPr>
            <w:tcW w:w="2624" w:type="dxa"/>
            <w:tcBorders>
              <w:top w:val="nil"/>
              <w:left w:val="nil"/>
              <w:bottom w:val="nil"/>
              <w:right w:val="nil"/>
            </w:tcBorders>
            <w:shd w:val="clear" w:color="000000" w:fill="FFFFFF"/>
            <w:noWrap/>
            <w:vAlign w:val="bottom"/>
            <w:hideMark/>
          </w:tcPr>
          <w:p w14:paraId="304CF7A5"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r>
      <w:tr w:rsidR="007C1AFD" w:rsidRPr="007C1AFD" w14:paraId="6AF5550C" w14:textId="77777777" w:rsidTr="006F164A">
        <w:trPr>
          <w:trHeight w:val="368"/>
        </w:trPr>
        <w:tc>
          <w:tcPr>
            <w:tcW w:w="3185" w:type="dxa"/>
            <w:tcBorders>
              <w:top w:val="nil"/>
              <w:left w:val="nil"/>
              <w:bottom w:val="nil"/>
              <w:right w:val="nil"/>
            </w:tcBorders>
            <w:shd w:val="clear" w:color="000000" w:fill="FFFFFF"/>
            <w:noWrap/>
            <w:vAlign w:val="bottom"/>
            <w:hideMark/>
          </w:tcPr>
          <w:p w14:paraId="13C25C74"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 Cover</w:t>
            </w:r>
          </w:p>
        </w:tc>
        <w:tc>
          <w:tcPr>
            <w:tcW w:w="2377" w:type="dxa"/>
            <w:tcBorders>
              <w:top w:val="nil"/>
              <w:left w:val="nil"/>
              <w:bottom w:val="nil"/>
              <w:right w:val="nil"/>
            </w:tcBorders>
            <w:shd w:val="clear" w:color="000000" w:fill="FFFFFF"/>
            <w:noWrap/>
            <w:vAlign w:val="bottom"/>
            <w:hideMark/>
          </w:tcPr>
          <w:p w14:paraId="226178A1"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Florida Keys</w:t>
            </w:r>
          </w:p>
        </w:tc>
        <w:tc>
          <w:tcPr>
            <w:tcW w:w="2624" w:type="dxa"/>
            <w:tcBorders>
              <w:top w:val="nil"/>
              <w:left w:val="nil"/>
              <w:bottom w:val="nil"/>
              <w:right w:val="nil"/>
            </w:tcBorders>
            <w:shd w:val="clear" w:color="000000" w:fill="FFFFFF"/>
            <w:noWrap/>
            <w:vAlign w:val="bottom"/>
            <w:hideMark/>
          </w:tcPr>
          <w:p w14:paraId="105D6B98"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NCRMP</w:t>
            </w:r>
          </w:p>
        </w:tc>
      </w:tr>
      <w:tr w:rsidR="007C1AFD" w:rsidRPr="007C1AFD" w14:paraId="4E04FE24" w14:textId="77777777" w:rsidTr="006F164A">
        <w:trPr>
          <w:trHeight w:val="368"/>
        </w:trPr>
        <w:tc>
          <w:tcPr>
            <w:tcW w:w="3185" w:type="dxa"/>
            <w:tcBorders>
              <w:top w:val="nil"/>
              <w:left w:val="nil"/>
              <w:bottom w:val="nil"/>
              <w:right w:val="nil"/>
            </w:tcBorders>
            <w:shd w:val="clear" w:color="000000" w:fill="FFFFFF"/>
            <w:noWrap/>
            <w:vAlign w:val="bottom"/>
            <w:hideMark/>
          </w:tcPr>
          <w:p w14:paraId="60CC9B5A"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Bioerosion</w:t>
            </w:r>
          </w:p>
        </w:tc>
        <w:tc>
          <w:tcPr>
            <w:tcW w:w="2377" w:type="dxa"/>
            <w:tcBorders>
              <w:top w:val="nil"/>
              <w:left w:val="nil"/>
              <w:bottom w:val="nil"/>
              <w:right w:val="nil"/>
            </w:tcBorders>
            <w:shd w:val="clear" w:color="000000" w:fill="FFFFFF"/>
            <w:noWrap/>
            <w:vAlign w:val="bottom"/>
            <w:hideMark/>
          </w:tcPr>
          <w:p w14:paraId="2470BE6A"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Atlantic/Caribbean</w:t>
            </w:r>
          </w:p>
        </w:tc>
        <w:tc>
          <w:tcPr>
            <w:tcW w:w="2624" w:type="dxa"/>
            <w:tcBorders>
              <w:top w:val="nil"/>
              <w:left w:val="nil"/>
              <w:bottom w:val="nil"/>
              <w:right w:val="nil"/>
            </w:tcBorders>
            <w:shd w:val="clear" w:color="000000" w:fill="FFFFFF"/>
            <w:noWrap/>
            <w:vAlign w:val="bottom"/>
            <w:hideMark/>
          </w:tcPr>
          <w:p w14:paraId="14459F82"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Perry et al. 2012</w:t>
            </w:r>
          </w:p>
        </w:tc>
      </w:tr>
      <w:tr w:rsidR="007C1AFD" w:rsidRPr="007C1AFD" w14:paraId="0C68B5E8" w14:textId="77777777" w:rsidTr="006F164A">
        <w:trPr>
          <w:trHeight w:val="368"/>
        </w:trPr>
        <w:tc>
          <w:tcPr>
            <w:tcW w:w="3185" w:type="dxa"/>
            <w:tcBorders>
              <w:top w:val="nil"/>
              <w:left w:val="nil"/>
              <w:bottom w:val="nil"/>
              <w:right w:val="nil"/>
            </w:tcBorders>
            <w:shd w:val="clear" w:color="000000" w:fill="FFFFFF"/>
            <w:noWrap/>
            <w:vAlign w:val="bottom"/>
            <w:hideMark/>
          </w:tcPr>
          <w:p w14:paraId="30968298"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proofErr w:type="spellStart"/>
            <w:r w:rsidRPr="007C1AFD">
              <w:rPr>
                <w:rFonts w:ascii="Times New Roman" w:eastAsia="Times New Roman" w:hAnsi="Times New Roman" w:cs="Times New Roman"/>
                <w:color w:val="000000"/>
                <w:sz w:val="24"/>
                <w:szCs w:val="24"/>
              </w:rPr>
              <w:t>Clionid</w:t>
            </w:r>
            <w:proofErr w:type="spellEnd"/>
            <w:r w:rsidRPr="007C1AFD">
              <w:rPr>
                <w:rFonts w:ascii="Times New Roman" w:eastAsia="Times New Roman" w:hAnsi="Times New Roman" w:cs="Times New Roman"/>
                <w:color w:val="000000"/>
                <w:sz w:val="24"/>
                <w:szCs w:val="24"/>
              </w:rPr>
              <w:t xml:space="preserve"> sponges</w:t>
            </w:r>
          </w:p>
        </w:tc>
        <w:tc>
          <w:tcPr>
            <w:tcW w:w="2377" w:type="dxa"/>
            <w:tcBorders>
              <w:top w:val="nil"/>
              <w:left w:val="nil"/>
              <w:bottom w:val="nil"/>
              <w:right w:val="nil"/>
            </w:tcBorders>
            <w:shd w:val="clear" w:color="000000" w:fill="FFFFFF"/>
            <w:noWrap/>
            <w:vAlign w:val="bottom"/>
            <w:hideMark/>
          </w:tcPr>
          <w:p w14:paraId="191CE10E"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c>
          <w:tcPr>
            <w:tcW w:w="2624" w:type="dxa"/>
            <w:tcBorders>
              <w:top w:val="nil"/>
              <w:left w:val="nil"/>
              <w:bottom w:val="nil"/>
              <w:right w:val="nil"/>
            </w:tcBorders>
            <w:shd w:val="clear" w:color="000000" w:fill="FFFFFF"/>
            <w:noWrap/>
            <w:vAlign w:val="bottom"/>
            <w:hideMark/>
          </w:tcPr>
          <w:p w14:paraId="03F295C7"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r>
      <w:tr w:rsidR="007C1AFD" w:rsidRPr="007C1AFD" w14:paraId="4AE7A911" w14:textId="77777777" w:rsidTr="006F164A">
        <w:trPr>
          <w:trHeight w:val="368"/>
        </w:trPr>
        <w:tc>
          <w:tcPr>
            <w:tcW w:w="3185" w:type="dxa"/>
            <w:tcBorders>
              <w:top w:val="nil"/>
              <w:left w:val="nil"/>
              <w:bottom w:val="nil"/>
              <w:right w:val="nil"/>
            </w:tcBorders>
            <w:shd w:val="clear" w:color="000000" w:fill="FFFFFF"/>
            <w:noWrap/>
            <w:vAlign w:val="bottom"/>
            <w:hideMark/>
          </w:tcPr>
          <w:p w14:paraId="28174B1E"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 Cover</w:t>
            </w:r>
          </w:p>
        </w:tc>
        <w:tc>
          <w:tcPr>
            <w:tcW w:w="2377" w:type="dxa"/>
            <w:tcBorders>
              <w:top w:val="nil"/>
              <w:left w:val="nil"/>
              <w:bottom w:val="nil"/>
              <w:right w:val="nil"/>
            </w:tcBorders>
            <w:shd w:val="clear" w:color="000000" w:fill="FFFFFF"/>
            <w:noWrap/>
            <w:vAlign w:val="bottom"/>
            <w:hideMark/>
          </w:tcPr>
          <w:p w14:paraId="20A97C77"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Florida Keys</w:t>
            </w:r>
          </w:p>
        </w:tc>
        <w:tc>
          <w:tcPr>
            <w:tcW w:w="2624" w:type="dxa"/>
            <w:tcBorders>
              <w:top w:val="nil"/>
              <w:left w:val="nil"/>
              <w:bottom w:val="nil"/>
              <w:right w:val="nil"/>
            </w:tcBorders>
            <w:shd w:val="clear" w:color="000000" w:fill="FFFFFF"/>
            <w:noWrap/>
            <w:vAlign w:val="bottom"/>
            <w:hideMark/>
          </w:tcPr>
          <w:p w14:paraId="2118AE69"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NCRMP</w:t>
            </w:r>
          </w:p>
        </w:tc>
      </w:tr>
      <w:tr w:rsidR="007C1AFD" w:rsidRPr="007C1AFD" w14:paraId="175C317C" w14:textId="77777777" w:rsidTr="006F164A">
        <w:trPr>
          <w:trHeight w:val="368"/>
        </w:trPr>
        <w:tc>
          <w:tcPr>
            <w:tcW w:w="3185" w:type="dxa"/>
            <w:tcBorders>
              <w:top w:val="nil"/>
              <w:left w:val="nil"/>
              <w:bottom w:val="nil"/>
              <w:right w:val="nil"/>
            </w:tcBorders>
            <w:shd w:val="clear" w:color="000000" w:fill="FFFFFF"/>
            <w:noWrap/>
            <w:vAlign w:val="bottom"/>
            <w:hideMark/>
          </w:tcPr>
          <w:p w14:paraId="344DD07C"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Bioerosion</w:t>
            </w:r>
          </w:p>
        </w:tc>
        <w:tc>
          <w:tcPr>
            <w:tcW w:w="2377" w:type="dxa"/>
            <w:tcBorders>
              <w:top w:val="nil"/>
              <w:left w:val="nil"/>
              <w:bottom w:val="nil"/>
              <w:right w:val="nil"/>
            </w:tcBorders>
            <w:shd w:val="clear" w:color="000000" w:fill="FFFFFF"/>
            <w:noWrap/>
            <w:vAlign w:val="bottom"/>
            <w:hideMark/>
          </w:tcPr>
          <w:p w14:paraId="284400B0"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Atlantic/Caribbean</w:t>
            </w:r>
          </w:p>
        </w:tc>
        <w:tc>
          <w:tcPr>
            <w:tcW w:w="2624" w:type="dxa"/>
            <w:tcBorders>
              <w:top w:val="nil"/>
              <w:left w:val="nil"/>
              <w:bottom w:val="nil"/>
              <w:right w:val="nil"/>
            </w:tcBorders>
            <w:shd w:val="clear" w:color="000000" w:fill="FFFFFF"/>
            <w:noWrap/>
            <w:vAlign w:val="bottom"/>
            <w:hideMark/>
          </w:tcPr>
          <w:p w14:paraId="53DB1908"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de Bakker et al. 2018</w:t>
            </w:r>
          </w:p>
        </w:tc>
      </w:tr>
      <w:tr w:rsidR="007C1AFD" w:rsidRPr="007C1AFD" w14:paraId="3370601F" w14:textId="77777777" w:rsidTr="006F164A">
        <w:trPr>
          <w:trHeight w:val="368"/>
        </w:trPr>
        <w:tc>
          <w:tcPr>
            <w:tcW w:w="3185" w:type="dxa"/>
            <w:tcBorders>
              <w:top w:val="nil"/>
              <w:left w:val="nil"/>
              <w:bottom w:val="nil"/>
              <w:right w:val="nil"/>
            </w:tcBorders>
            <w:shd w:val="clear" w:color="000000" w:fill="FFFFFF"/>
            <w:noWrap/>
            <w:vAlign w:val="bottom"/>
            <w:hideMark/>
          </w:tcPr>
          <w:p w14:paraId="46E312E6"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Parrotfish </w:t>
            </w:r>
          </w:p>
        </w:tc>
        <w:tc>
          <w:tcPr>
            <w:tcW w:w="2377" w:type="dxa"/>
            <w:tcBorders>
              <w:top w:val="nil"/>
              <w:left w:val="nil"/>
              <w:bottom w:val="nil"/>
              <w:right w:val="nil"/>
            </w:tcBorders>
            <w:shd w:val="clear" w:color="000000" w:fill="FFFFFF"/>
            <w:noWrap/>
            <w:vAlign w:val="bottom"/>
            <w:hideMark/>
          </w:tcPr>
          <w:p w14:paraId="1058EBE2"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c>
          <w:tcPr>
            <w:tcW w:w="2624" w:type="dxa"/>
            <w:tcBorders>
              <w:top w:val="nil"/>
              <w:left w:val="nil"/>
              <w:bottom w:val="nil"/>
              <w:right w:val="nil"/>
            </w:tcBorders>
            <w:shd w:val="clear" w:color="000000" w:fill="FFFFFF"/>
            <w:noWrap/>
            <w:vAlign w:val="bottom"/>
            <w:hideMark/>
          </w:tcPr>
          <w:p w14:paraId="3E5DE6E9"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r>
      <w:tr w:rsidR="007C1AFD" w:rsidRPr="007C1AFD" w14:paraId="341386F7" w14:textId="77777777" w:rsidTr="006F164A">
        <w:trPr>
          <w:trHeight w:val="368"/>
        </w:trPr>
        <w:tc>
          <w:tcPr>
            <w:tcW w:w="3185" w:type="dxa"/>
            <w:tcBorders>
              <w:top w:val="nil"/>
              <w:left w:val="nil"/>
              <w:bottom w:val="nil"/>
              <w:right w:val="nil"/>
            </w:tcBorders>
            <w:shd w:val="clear" w:color="000000" w:fill="FFFFFF"/>
            <w:noWrap/>
            <w:vAlign w:val="bottom"/>
            <w:hideMark/>
          </w:tcPr>
          <w:p w14:paraId="7924592E"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Species, size, abundance</w:t>
            </w:r>
          </w:p>
        </w:tc>
        <w:tc>
          <w:tcPr>
            <w:tcW w:w="2377" w:type="dxa"/>
            <w:tcBorders>
              <w:top w:val="nil"/>
              <w:left w:val="nil"/>
              <w:bottom w:val="nil"/>
              <w:right w:val="nil"/>
            </w:tcBorders>
            <w:shd w:val="clear" w:color="000000" w:fill="FFFFFF"/>
            <w:noWrap/>
            <w:vAlign w:val="bottom"/>
            <w:hideMark/>
          </w:tcPr>
          <w:p w14:paraId="027E2457"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Florida Keys</w:t>
            </w:r>
          </w:p>
        </w:tc>
        <w:tc>
          <w:tcPr>
            <w:tcW w:w="2624" w:type="dxa"/>
            <w:tcBorders>
              <w:top w:val="nil"/>
              <w:left w:val="nil"/>
              <w:bottom w:val="nil"/>
              <w:right w:val="nil"/>
            </w:tcBorders>
            <w:shd w:val="clear" w:color="000000" w:fill="FFFFFF"/>
            <w:noWrap/>
            <w:vAlign w:val="bottom"/>
            <w:hideMark/>
          </w:tcPr>
          <w:p w14:paraId="3C44BD00"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NCRMP</w:t>
            </w:r>
          </w:p>
        </w:tc>
      </w:tr>
      <w:tr w:rsidR="007C1AFD" w:rsidRPr="007C1AFD" w14:paraId="4D5BF4A4" w14:textId="77777777" w:rsidTr="006F164A">
        <w:trPr>
          <w:trHeight w:val="368"/>
        </w:trPr>
        <w:tc>
          <w:tcPr>
            <w:tcW w:w="3185" w:type="dxa"/>
            <w:tcBorders>
              <w:top w:val="nil"/>
              <w:left w:val="nil"/>
              <w:bottom w:val="nil"/>
              <w:right w:val="nil"/>
            </w:tcBorders>
            <w:shd w:val="clear" w:color="000000" w:fill="FFFFFF"/>
            <w:noWrap/>
            <w:vAlign w:val="bottom"/>
            <w:hideMark/>
          </w:tcPr>
          <w:p w14:paraId="6C2D73AA"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Bioerosion</w:t>
            </w:r>
          </w:p>
        </w:tc>
        <w:tc>
          <w:tcPr>
            <w:tcW w:w="2377" w:type="dxa"/>
            <w:tcBorders>
              <w:top w:val="nil"/>
              <w:left w:val="nil"/>
              <w:bottom w:val="nil"/>
              <w:right w:val="nil"/>
            </w:tcBorders>
            <w:shd w:val="clear" w:color="000000" w:fill="FFFFFF"/>
            <w:noWrap/>
            <w:vAlign w:val="bottom"/>
            <w:hideMark/>
          </w:tcPr>
          <w:p w14:paraId="26BB3AF8"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Atlantic/Caribbean</w:t>
            </w:r>
          </w:p>
        </w:tc>
        <w:tc>
          <w:tcPr>
            <w:tcW w:w="2624" w:type="dxa"/>
            <w:tcBorders>
              <w:top w:val="nil"/>
              <w:left w:val="nil"/>
              <w:bottom w:val="nil"/>
              <w:right w:val="nil"/>
            </w:tcBorders>
            <w:shd w:val="clear" w:color="000000" w:fill="FFFFFF"/>
            <w:noWrap/>
            <w:vAlign w:val="bottom"/>
            <w:hideMark/>
          </w:tcPr>
          <w:p w14:paraId="77D1F975"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Perry et al. 2012</w:t>
            </w:r>
          </w:p>
        </w:tc>
      </w:tr>
      <w:tr w:rsidR="007C1AFD" w:rsidRPr="007C1AFD" w14:paraId="3935173A" w14:textId="77777777" w:rsidTr="006F164A">
        <w:trPr>
          <w:trHeight w:val="368"/>
        </w:trPr>
        <w:tc>
          <w:tcPr>
            <w:tcW w:w="3185" w:type="dxa"/>
            <w:tcBorders>
              <w:top w:val="nil"/>
              <w:left w:val="nil"/>
              <w:bottom w:val="nil"/>
              <w:right w:val="nil"/>
            </w:tcBorders>
            <w:shd w:val="clear" w:color="000000" w:fill="FFFFFF"/>
            <w:noWrap/>
            <w:vAlign w:val="bottom"/>
            <w:hideMark/>
          </w:tcPr>
          <w:p w14:paraId="5BC50A39" w14:textId="77777777" w:rsidR="007C1AFD" w:rsidRPr="007C1AFD" w:rsidRDefault="007C1AFD" w:rsidP="007C1AFD">
            <w:pPr>
              <w:spacing w:after="0" w:line="240" w:lineRule="auto"/>
              <w:rPr>
                <w:rFonts w:ascii="Times New Roman" w:eastAsia="Times New Roman" w:hAnsi="Times New Roman" w:cs="Times New Roman"/>
                <w:i/>
                <w:color w:val="000000"/>
                <w:sz w:val="24"/>
                <w:szCs w:val="24"/>
              </w:rPr>
            </w:pPr>
            <w:r w:rsidRPr="007C1AFD">
              <w:rPr>
                <w:rFonts w:ascii="Times New Roman" w:eastAsia="Times New Roman" w:hAnsi="Times New Roman" w:cs="Times New Roman"/>
                <w:i/>
                <w:color w:val="000000"/>
                <w:sz w:val="24"/>
                <w:szCs w:val="24"/>
              </w:rPr>
              <w:t>Diadema</w:t>
            </w:r>
          </w:p>
        </w:tc>
        <w:tc>
          <w:tcPr>
            <w:tcW w:w="2377" w:type="dxa"/>
            <w:tcBorders>
              <w:top w:val="nil"/>
              <w:left w:val="nil"/>
              <w:bottom w:val="nil"/>
              <w:right w:val="nil"/>
            </w:tcBorders>
            <w:shd w:val="clear" w:color="000000" w:fill="FFFFFF"/>
            <w:noWrap/>
            <w:vAlign w:val="bottom"/>
            <w:hideMark/>
          </w:tcPr>
          <w:p w14:paraId="312613F6"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c>
          <w:tcPr>
            <w:tcW w:w="2624" w:type="dxa"/>
            <w:tcBorders>
              <w:top w:val="nil"/>
              <w:left w:val="nil"/>
              <w:bottom w:val="nil"/>
              <w:right w:val="nil"/>
            </w:tcBorders>
            <w:shd w:val="clear" w:color="000000" w:fill="FFFFFF"/>
            <w:noWrap/>
            <w:vAlign w:val="bottom"/>
            <w:hideMark/>
          </w:tcPr>
          <w:p w14:paraId="1CD88362"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w:t>
            </w:r>
          </w:p>
        </w:tc>
      </w:tr>
      <w:tr w:rsidR="007C1AFD" w:rsidRPr="007C1AFD" w14:paraId="6419C790" w14:textId="77777777" w:rsidTr="006F164A">
        <w:trPr>
          <w:trHeight w:val="368"/>
        </w:trPr>
        <w:tc>
          <w:tcPr>
            <w:tcW w:w="3185" w:type="dxa"/>
            <w:tcBorders>
              <w:top w:val="nil"/>
              <w:left w:val="nil"/>
              <w:bottom w:val="nil"/>
              <w:right w:val="nil"/>
            </w:tcBorders>
            <w:shd w:val="clear" w:color="000000" w:fill="FFFFFF"/>
            <w:noWrap/>
            <w:vAlign w:val="bottom"/>
            <w:hideMark/>
          </w:tcPr>
          <w:p w14:paraId="44C8D0A1"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Abundance</w:t>
            </w:r>
          </w:p>
        </w:tc>
        <w:tc>
          <w:tcPr>
            <w:tcW w:w="2377" w:type="dxa"/>
            <w:tcBorders>
              <w:top w:val="nil"/>
              <w:left w:val="nil"/>
              <w:bottom w:val="nil"/>
              <w:right w:val="nil"/>
            </w:tcBorders>
            <w:shd w:val="clear" w:color="000000" w:fill="FFFFFF"/>
            <w:noWrap/>
            <w:vAlign w:val="bottom"/>
            <w:hideMark/>
          </w:tcPr>
          <w:p w14:paraId="66F8920B"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Florida Keys</w:t>
            </w:r>
          </w:p>
        </w:tc>
        <w:tc>
          <w:tcPr>
            <w:tcW w:w="2624" w:type="dxa"/>
            <w:tcBorders>
              <w:top w:val="nil"/>
              <w:left w:val="nil"/>
              <w:bottom w:val="nil"/>
              <w:right w:val="nil"/>
            </w:tcBorders>
            <w:shd w:val="clear" w:color="000000" w:fill="FFFFFF"/>
            <w:noWrap/>
            <w:vAlign w:val="bottom"/>
            <w:hideMark/>
          </w:tcPr>
          <w:p w14:paraId="69079CDD"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NCRMP</w:t>
            </w:r>
          </w:p>
        </w:tc>
      </w:tr>
      <w:tr w:rsidR="007C1AFD" w:rsidRPr="007C1AFD" w14:paraId="7D7A1A5B" w14:textId="77777777" w:rsidTr="006F164A">
        <w:trPr>
          <w:trHeight w:val="368"/>
        </w:trPr>
        <w:tc>
          <w:tcPr>
            <w:tcW w:w="3185" w:type="dxa"/>
            <w:tcBorders>
              <w:top w:val="nil"/>
              <w:left w:val="nil"/>
              <w:bottom w:val="nil"/>
              <w:right w:val="nil"/>
            </w:tcBorders>
            <w:shd w:val="clear" w:color="000000" w:fill="FFFFFF"/>
            <w:noWrap/>
            <w:vAlign w:val="bottom"/>
            <w:hideMark/>
          </w:tcPr>
          <w:p w14:paraId="4C09D420"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Test size</w:t>
            </w:r>
          </w:p>
        </w:tc>
        <w:tc>
          <w:tcPr>
            <w:tcW w:w="2377" w:type="dxa"/>
            <w:tcBorders>
              <w:top w:val="nil"/>
              <w:left w:val="nil"/>
              <w:bottom w:val="nil"/>
              <w:right w:val="nil"/>
            </w:tcBorders>
            <w:shd w:val="clear" w:color="000000" w:fill="FFFFFF"/>
            <w:noWrap/>
            <w:vAlign w:val="bottom"/>
            <w:hideMark/>
          </w:tcPr>
          <w:p w14:paraId="301BB049"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Florida Keys</w:t>
            </w:r>
          </w:p>
        </w:tc>
        <w:tc>
          <w:tcPr>
            <w:tcW w:w="2624" w:type="dxa"/>
            <w:tcBorders>
              <w:top w:val="nil"/>
              <w:left w:val="nil"/>
              <w:bottom w:val="nil"/>
              <w:right w:val="nil"/>
            </w:tcBorders>
            <w:shd w:val="clear" w:color="000000" w:fill="FFFFFF"/>
            <w:noWrap/>
            <w:vAlign w:val="bottom"/>
            <w:hideMark/>
          </w:tcPr>
          <w:p w14:paraId="3146A023"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Feehan et al. 2016</w:t>
            </w:r>
          </w:p>
        </w:tc>
      </w:tr>
      <w:tr w:rsidR="007C1AFD" w:rsidRPr="007C1AFD" w14:paraId="65B0FCF6" w14:textId="77777777" w:rsidTr="006F164A">
        <w:trPr>
          <w:trHeight w:val="368"/>
        </w:trPr>
        <w:tc>
          <w:tcPr>
            <w:tcW w:w="3185" w:type="dxa"/>
            <w:tcBorders>
              <w:top w:val="nil"/>
              <w:left w:val="nil"/>
              <w:bottom w:val="single" w:sz="4" w:space="0" w:color="auto"/>
              <w:right w:val="nil"/>
            </w:tcBorders>
            <w:shd w:val="clear" w:color="000000" w:fill="FFFFFF"/>
            <w:noWrap/>
            <w:vAlign w:val="bottom"/>
            <w:hideMark/>
          </w:tcPr>
          <w:p w14:paraId="50520560"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 xml:space="preserve">    Bioerosion</w:t>
            </w:r>
          </w:p>
        </w:tc>
        <w:tc>
          <w:tcPr>
            <w:tcW w:w="2377" w:type="dxa"/>
            <w:tcBorders>
              <w:top w:val="nil"/>
              <w:left w:val="nil"/>
              <w:bottom w:val="single" w:sz="4" w:space="0" w:color="auto"/>
              <w:right w:val="nil"/>
            </w:tcBorders>
            <w:shd w:val="clear" w:color="000000" w:fill="FFFFFF"/>
            <w:noWrap/>
            <w:vAlign w:val="bottom"/>
            <w:hideMark/>
          </w:tcPr>
          <w:p w14:paraId="75A51880"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Atlantic/Caribbean</w:t>
            </w:r>
          </w:p>
        </w:tc>
        <w:tc>
          <w:tcPr>
            <w:tcW w:w="2624" w:type="dxa"/>
            <w:tcBorders>
              <w:top w:val="nil"/>
              <w:left w:val="nil"/>
              <w:bottom w:val="single" w:sz="4" w:space="0" w:color="auto"/>
              <w:right w:val="nil"/>
            </w:tcBorders>
            <w:shd w:val="clear" w:color="000000" w:fill="FFFFFF"/>
            <w:noWrap/>
            <w:vAlign w:val="bottom"/>
            <w:hideMark/>
          </w:tcPr>
          <w:p w14:paraId="59A9E487" w14:textId="77777777" w:rsidR="007C1AFD" w:rsidRPr="007C1AFD" w:rsidRDefault="007C1AFD" w:rsidP="007C1AFD">
            <w:pPr>
              <w:spacing w:after="0" w:line="240" w:lineRule="auto"/>
              <w:rPr>
                <w:rFonts w:ascii="Times New Roman" w:eastAsia="Times New Roman" w:hAnsi="Times New Roman" w:cs="Times New Roman"/>
                <w:color w:val="000000"/>
                <w:sz w:val="24"/>
                <w:szCs w:val="24"/>
              </w:rPr>
            </w:pPr>
            <w:r w:rsidRPr="007C1AFD">
              <w:rPr>
                <w:rFonts w:ascii="Times New Roman" w:eastAsia="Times New Roman" w:hAnsi="Times New Roman" w:cs="Times New Roman"/>
                <w:color w:val="000000"/>
                <w:sz w:val="24"/>
                <w:szCs w:val="24"/>
              </w:rPr>
              <w:t>Perry et al. 2012</w:t>
            </w:r>
          </w:p>
        </w:tc>
      </w:tr>
    </w:tbl>
    <w:p w14:paraId="51E5551D" w14:textId="77777777" w:rsidR="00276DDE" w:rsidRPr="00276DDE" w:rsidRDefault="00276DDE" w:rsidP="00276DDE">
      <w:pPr>
        <w:spacing w:after="0" w:line="240" w:lineRule="auto"/>
        <w:rPr>
          <w:rFonts w:ascii="Times New Roman" w:eastAsia="Times New Roman" w:hAnsi="Times New Roman" w:cs="Calibri"/>
          <w:b/>
          <w:sz w:val="24"/>
          <w:szCs w:val="24"/>
        </w:rPr>
      </w:pPr>
      <w:r w:rsidRPr="00276DDE">
        <w:rPr>
          <w:rFonts w:ascii="Times New Roman" w:eastAsia="Times New Roman" w:hAnsi="Times New Roman" w:cs="Times New Roman"/>
          <w:sz w:val="24"/>
          <w:szCs w:val="24"/>
        </w:rPr>
        <w:br w:type="page"/>
      </w:r>
    </w:p>
    <w:p w14:paraId="65FF1B04" w14:textId="77777777" w:rsidR="00276DDE" w:rsidRPr="00276DDE" w:rsidRDefault="00276DDE" w:rsidP="00276DDE">
      <w:pPr>
        <w:spacing w:after="0" w:line="480" w:lineRule="auto"/>
        <w:rPr>
          <w:rFonts w:ascii="Times New Roman" w:eastAsia="Times New Roman" w:hAnsi="Times New Roman" w:cs="Times New Roman"/>
          <w:b/>
          <w:sz w:val="24"/>
          <w:szCs w:val="24"/>
        </w:rPr>
      </w:pPr>
      <w:r w:rsidRPr="00276DDE">
        <w:rPr>
          <w:rFonts w:ascii="Times New Roman" w:eastAsia="Times New Roman" w:hAnsi="Times New Roman" w:cs="Times New Roman"/>
          <w:b/>
          <w:noProof/>
          <w:sz w:val="24"/>
          <w:szCs w:val="24"/>
        </w:rPr>
        <w:lastRenderedPageBreak/>
        <w:drawing>
          <wp:inline distT="0" distB="0" distL="0" distR="0" wp14:anchorId="4F2B93B6" wp14:editId="55CE7DD0">
            <wp:extent cx="5943600" cy="445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bBudgetMap_Final_Dec7_2022.tiff"/>
                    <pic:cNvPicPr/>
                  </pic:nvPicPr>
                  <pic:blipFill>
                    <a:blip r:embed="rId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6BC4E5C" w14:textId="77777777" w:rsidR="00276DDE" w:rsidRPr="00276DDE" w:rsidRDefault="00276DDE" w:rsidP="00276DDE">
      <w:pPr>
        <w:spacing w:after="0" w:line="480" w:lineRule="auto"/>
        <w:rPr>
          <w:rFonts w:ascii="Times New Roman" w:eastAsia="Times New Roman" w:hAnsi="Times New Roman" w:cs="Calibri"/>
          <w:b/>
          <w:sz w:val="24"/>
          <w:szCs w:val="24"/>
        </w:rPr>
      </w:pPr>
      <w:r w:rsidRPr="00276DDE">
        <w:rPr>
          <w:rFonts w:ascii="Times New Roman" w:eastAsia="Times New Roman" w:hAnsi="Times New Roman" w:cs="Times New Roman"/>
          <w:b/>
          <w:sz w:val="24"/>
          <w:szCs w:val="24"/>
        </w:rPr>
        <w:t xml:space="preserve">Figure S1 | </w:t>
      </w:r>
      <w:r w:rsidRPr="00276DDE">
        <w:rPr>
          <w:rFonts w:ascii="Times New Roman" w:eastAsia="Times New Roman" w:hAnsi="Times New Roman" w:cs="Times New Roman"/>
          <w:sz w:val="24"/>
          <w:szCs w:val="24"/>
        </w:rPr>
        <w:t>Map showing the distribution of reef sites analyzed during this study. Sites were categorized in sub-regions along a south to north gradient: Dry Tortugas (DRTO, n = 228), Lower Keys (LK, n = 103), Middle Keys (MK, n = 46), Upper Keys (UK, n = 140), Biscayne (BISC, n = 33), and Southeast Florida (SEFL, n = 173). For regional comparisons, LK, MK, UK, and BISC were grouped into the FLK and compared to DRTO and SEFL.</w:t>
      </w:r>
    </w:p>
    <w:p w14:paraId="0116D41A" w14:textId="77777777" w:rsidR="00276DDE" w:rsidRPr="00276DDE" w:rsidRDefault="00276DDE" w:rsidP="00276DDE">
      <w:pPr>
        <w:spacing w:after="0" w:line="480" w:lineRule="auto"/>
        <w:rPr>
          <w:rFonts w:ascii="Times New Roman" w:eastAsia="Times New Roman" w:hAnsi="Times New Roman" w:cs="Calibri"/>
          <w:sz w:val="24"/>
          <w:szCs w:val="24"/>
        </w:rPr>
      </w:pPr>
      <w:r w:rsidRPr="00276DDE">
        <w:rPr>
          <w:rFonts w:ascii="Times New Roman" w:eastAsia="Times New Roman" w:hAnsi="Times New Roman" w:cs="Calibri"/>
          <w:sz w:val="24"/>
          <w:szCs w:val="24"/>
        </w:rPr>
        <w:br w:type="page"/>
      </w:r>
    </w:p>
    <w:p w14:paraId="63D39128" w14:textId="77777777" w:rsidR="00276DDE" w:rsidRPr="00276DDE" w:rsidRDefault="00276DDE" w:rsidP="00276DDE">
      <w:pPr>
        <w:spacing w:after="0" w:line="480" w:lineRule="auto"/>
        <w:rPr>
          <w:rFonts w:ascii="Times New Roman" w:eastAsia="Times New Roman" w:hAnsi="Times New Roman" w:cs="Calibri"/>
          <w:sz w:val="24"/>
          <w:szCs w:val="24"/>
        </w:rPr>
      </w:pPr>
      <w:r w:rsidRPr="00276DDE">
        <w:rPr>
          <w:rFonts w:ascii="Times New Roman" w:eastAsia="Times New Roman" w:hAnsi="Times New Roman" w:cs="Calibri"/>
          <w:noProof/>
          <w:sz w:val="24"/>
          <w:szCs w:val="24"/>
        </w:rPr>
        <w:lastRenderedPageBreak/>
        <w:drawing>
          <wp:inline distT="0" distB="0" distL="0" distR="0" wp14:anchorId="6DBD8673" wp14:editId="1ADBED94">
            <wp:extent cx="6059055" cy="467628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dar_Figure_Edited1.pdf"/>
                    <pic:cNvPicPr/>
                  </pic:nvPicPr>
                  <pic:blipFill>
                    <a:blip r:embed="rId5">
                      <a:extLst>
                        <a:ext uri="{28A0092B-C50C-407E-A947-70E740481C1C}">
                          <a14:useLocalDpi xmlns:a14="http://schemas.microsoft.com/office/drawing/2010/main" val="0"/>
                        </a:ext>
                      </a:extLst>
                    </a:blip>
                    <a:stretch>
                      <a:fillRect/>
                    </a:stretch>
                  </pic:blipFill>
                  <pic:spPr>
                    <a:xfrm>
                      <a:off x="0" y="0"/>
                      <a:ext cx="6069285" cy="4684178"/>
                    </a:xfrm>
                    <a:prstGeom prst="rect">
                      <a:avLst/>
                    </a:prstGeom>
                  </pic:spPr>
                </pic:pic>
              </a:graphicData>
            </a:graphic>
          </wp:inline>
        </w:drawing>
      </w:r>
    </w:p>
    <w:p w14:paraId="46748FB6" w14:textId="77777777" w:rsidR="00276DDE" w:rsidRPr="00276DDE" w:rsidRDefault="00276DDE" w:rsidP="00276DDE">
      <w:pPr>
        <w:spacing w:after="0" w:line="480" w:lineRule="auto"/>
        <w:rPr>
          <w:rFonts w:ascii="Times New Roman" w:eastAsia="Times New Roman" w:hAnsi="Times New Roman" w:cs="Times New Roman"/>
          <w:sz w:val="24"/>
          <w:szCs w:val="24"/>
        </w:rPr>
      </w:pPr>
      <w:r w:rsidRPr="00276DDE">
        <w:rPr>
          <w:rFonts w:ascii="Times New Roman" w:eastAsia="Times New Roman" w:hAnsi="Times New Roman" w:cs="Times New Roman"/>
          <w:b/>
          <w:sz w:val="24"/>
          <w:szCs w:val="24"/>
        </w:rPr>
        <w:t>Figure S2 |</w:t>
      </w:r>
      <w:r w:rsidRPr="00276DDE">
        <w:rPr>
          <w:rFonts w:ascii="Times New Roman" w:eastAsia="Times New Roman" w:hAnsi="Times New Roman" w:cs="Times New Roman"/>
          <w:sz w:val="24"/>
          <w:szCs w:val="24"/>
        </w:rPr>
        <w:t xml:space="preserve"> Maps showing the distribution of the LiDAR surveys (grey) and location of each reef site (green) along the FRT (a, b). A 15m x 15m grid was wrapped around each reef site’s GPS point (c), and rugosity was calculated as 3D surface area/2D surface area.</w:t>
      </w:r>
    </w:p>
    <w:p w14:paraId="06F54009" w14:textId="09A65F08" w:rsidR="00A67B7B" w:rsidRDefault="00A67B7B">
      <w:pPr>
        <w:rPr>
          <w:rFonts w:ascii="Times New Roman" w:eastAsia="Times New Roman" w:hAnsi="Times New Roman" w:cs="Calibri"/>
          <w:sz w:val="24"/>
          <w:szCs w:val="24"/>
        </w:rPr>
      </w:pPr>
      <w:r>
        <w:rPr>
          <w:rFonts w:ascii="Times New Roman" w:eastAsia="Times New Roman" w:hAnsi="Times New Roman" w:cs="Calibri"/>
          <w:sz w:val="24"/>
          <w:szCs w:val="24"/>
        </w:rPr>
        <w:br w:type="page"/>
      </w:r>
    </w:p>
    <w:p w14:paraId="7483EF41" w14:textId="77777777" w:rsidR="00A67B7B" w:rsidRDefault="00A67B7B" w:rsidP="00A67B7B">
      <w:pPr>
        <w:spacing w:line="480" w:lineRule="auto"/>
        <w:rPr>
          <w:rFonts w:cstheme="minorHAnsi"/>
        </w:rPr>
      </w:pPr>
      <w:r>
        <w:rPr>
          <w:rFonts w:cstheme="minorHAnsi"/>
          <w:noProof/>
        </w:rPr>
        <w:lastRenderedPageBreak/>
        <w:drawing>
          <wp:inline distT="0" distB="0" distL="0" distR="0" wp14:anchorId="027BA23C" wp14:editId="5C0B8534">
            <wp:extent cx="6065723" cy="374565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_Figure3.pdf"/>
                    <pic:cNvPicPr/>
                  </pic:nvPicPr>
                  <pic:blipFill>
                    <a:blip r:embed="rId6">
                      <a:extLst>
                        <a:ext uri="{28A0092B-C50C-407E-A947-70E740481C1C}">
                          <a14:useLocalDpi xmlns:a14="http://schemas.microsoft.com/office/drawing/2010/main" val="0"/>
                        </a:ext>
                      </a:extLst>
                    </a:blip>
                    <a:stretch>
                      <a:fillRect/>
                    </a:stretch>
                  </pic:blipFill>
                  <pic:spPr>
                    <a:xfrm>
                      <a:off x="0" y="0"/>
                      <a:ext cx="6084355" cy="3757158"/>
                    </a:xfrm>
                    <a:prstGeom prst="rect">
                      <a:avLst/>
                    </a:prstGeom>
                  </pic:spPr>
                </pic:pic>
              </a:graphicData>
            </a:graphic>
          </wp:inline>
        </w:drawing>
      </w:r>
    </w:p>
    <w:p w14:paraId="03AA2AB3" w14:textId="3234BBD7" w:rsidR="00A67B7B" w:rsidRPr="00A67B7B" w:rsidRDefault="00A67B7B" w:rsidP="00A67B7B">
      <w:pPr>
        <w:spacing w:line="480" w:lineRule="auto"/>
        <w:rPr>
          <w:rFonts w:ascii="Times New Roman" w:hAnsi="Times New Roman" w:cs="Times New Roman"/>
        </w:rPr>
      </w:pPr>
      <w:r w:rsidRPr="00A67B7B">
        <w:rPr>
          <w:rFonts w:ascii="Times New Roman" w:hAnsi="Times New Roman" w:cs="Times New Roman"/>
          <w:b/>
        </w:rPr>
        <w:t>Figure S3</w:t>
      </w:r>
      <w:r w:rsidRPr="00A67B7B">
        <w:rPr>
          <w:rFonts w:ascii="Times New Roman" w:hAnsi="Times New Roman" w:cs="Times New Roman"/>
        </w:rPr>
        <w:t xml:space="preserve"> | A regional/sub-regional comparison of net carbonate production (kg CaCO</w:t>
      </w:r>
      <w:r w:rsidRPr="00A67B7B">
        <w:rPr>
          <w:rFonts w:ascii="Times New Roman" w:hAnsi="Times New Roman" w:cs="Times New Roman"/>
          <w:vertAlign w:val="subscript"/>
        </w:rPr>
        <w:t>3</w:t>
      </w:r>
      <w:r w:rsidRPr="00A67B7B">
        <w:rPr>
          <w:rFonts w:ascii="Times New Roman" w:hAnsi="Times New Roman" w:cs="Times New Roman"/>
        </w:rPr>
        <w:t xml:space="preserve"> m</w:t>
      </w:r>
      <w:r w:rsidRPr="00A67B7B">
        <w:rPr>
          <w:rFonts w:ascii="Times New Roman" w:hAnsi="Times New Roman" w:cs="Times New Roman"/>
          <w:vertAlign w:val="superscript"/>
        </w:rPr>
        <w:t>-2</w:t>
      </w:r>
      <w:r w:rsidRPr="00A67B7B">
        <w:rPr>
          <w:rFonts w:ascii="Times New Roman" w:hAnsi="Times New Roman" w:cs="Times New Roman"/>
        </w:rPr>
        <w:t xml:space="preserve"> year</w:t>
      </w:r>
      <w:r w:rsidRPr="00A67B7B">
        <w:rPr>
          <w:rFonts w:ascii="Times New Roman" w:hAnsi="Times New Roman" w:cs="Times New Roman"/>
          <w:vertAlign w:val="superscript"/>
        </w:rPr>
        <w:t>-1</w:t>
      </w:r>
      <w:r w:rsidRPr="00A67B7B">
        <w:rPr>
          <w:rFonts w:ascii="Times New Roman" w:hAnsi="Times New Roman" w:cs="Times New Roman"/>
        </w:rPr>
        <w:t>; black), gross carbonate production (white) and gross carbonate erosion (grey) for DRTO, Dry Tortugas; LK, Lower Keys; MK, Middle Keys; UK, Upper Keys; BISC, Biscayne; SEFL, Southeast Florida. Error bars represent Std. error.</w:t>
      </w:r>
    </w:p>
    <w:p w14:paraId="4E986D81" w14:textId="2C170465" w:rsidR="00A67B7B" w:rsidRDefault="00A67B7B">
      <w:pPr>
        <w:rPr>
          <w:b/>
        </w:rPr>
      </w:pPr>
      <w:r>
        <w:rPr>
          <w:b/>
        </w:rPr>
        <w:br w:type="page"/>
      </w:r>
    </w:p>
    <w:p w14:paraId="53CB5C99" w14:textId="77777777" w:rsidR="00A67B7B" w:rsidRDefault="00A67B7B" w:rsidP="00A67B7B">
      <w:pPr>
        <w:spacing w:line="480" w:lineRule="auto"/>
        <w:rPr>
          <w:rFonts w:cstheme="minorHAnsi"/>
        </w:rPr>
      </w:pPr>
      <w:r>
        <w:rPr>
          <w:rFonts w:cstheme="minorHAnsi"/>
          <w:noProof/>
        </w:rPr>
        <w:lastRenderedPageBreak/>
        <w:drawing>
          <wp:inline distT="0" distB="0" distL="0" distR="0" wp14:anchorId="56F5D6A6" wp14:editId="30388123">
            <wp:extent cx="5054943" cy="44500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_Fig4.eps"/>
                    <pic:cNvPicPr/>
                  </pic:nvPicPr>
                  <pic:blipFill>
                    <a:blip r:embed="rId7">
                      <a:extLst>
                        <a:ext uri="{28A0092B-C50C-407E-A947-70E740481C1C}">
                          <a14:useLocalDpi xmlns:a14="http://schemas.microsoft.com/office/drawing/2010/main" val="0"/>
                        </a:ext>
                      </a:extLst>
                    </a:blip>
                    <a:stretch>
                      <a:fillRect/>
                    </a:stretch>
                  </pic:blipFill>
                  <pic:spPr>
                    <a:xfrm>
                      <a:off x="0" y="0"/>
                      <a:ext cx="5064149" cy="4458184"/>
                    </a:xfrm>
                    <a:prstGeom prst="rect">
                      <a:avLst/>
                    </a:prstGeom>
                  </pic:spPr>
                </pic:pic>
              </a:graphicData>
            </a:graphic>
          </wp:inline>
        </w:drawing>
      </w:r>
    </w:p>
    <w:p w14:paraId="3BAC2AE1" w14:textId="77777777" w:rsidR="00A67B7B" w:rsidRPr="00A67B7B" w:rsidRDefault="00A67B7B" w:rsidP="00A67B7B">
      <w:pPr>
        <w:spacing w:line="480" w:lineRule="auto"/>
        <w:rPr>
          <w:rFonts w:ascii="Times New Roman" w:hAnsi="Times New Roman" w:cs="Times New Roman"/>
        </w:rPr>
      </w:pPr>
      <w:r w:rsidRPr="00A67B7B">
        <w:rPr>
          <w:rFonts w:ascii="Times New Roman" w:hAnsi="Times New Roman" w:cs="Times New Roman"/>
          <w:b/>
        </w:rPr>
        <w:t>Figure S4</w:t>
      </w:r>
      <w:r w:rsidRPr="00A67B7B">
        <w:rPr>
          <w:rFonts w:ascii="Times New Roman" w:hAnsi="Times New Roman" w:cs="Times New Roman"/>
        </w:rPr>
        <w:t xml:space="preserve"> | The relationship between regional % live coral cover for each site as a function of net carbonate production (kg CaCO</w:t>
      </w:r>
      <w:r w:rsidRPr="00A67B7B">
        <w:rPr>
          <w:rFonts w:ascii="Times New Roman" w:hAnsi="Times New Roman" w:cs="Times New Roman"/>
          <w:vertAlign w:val="subscript"/>
        </w:rPr>
        <w:t>3</w:t>
      </w:r>
      <w:r w:rsidRPr="00A67B7B">
        <w:rPr>
          <w:rFonts w:ascii="Times New Roman" w:hAnsi="Times New Roman" w:cs="Times New Roman"/>
        </w:rPr>
        <w:t xml:space="preserve"> m</w:t>
      </w:r>
      <w:r w:rsidRPr="00A67B7B">
        <w:rPr>
          <w:rFonts w:ascii="Times New Roman" w:hAnsi="Times New Roman" w:cs="Times New Roman"/>
          <w:vertAlign w:val="superscript"/>
        </w:rPr>
        <w:t>-2</w:t>
      </w:r>
      <w:r w:rsidRPr="00A67B7B">
        <w:rPr>
          <w:rFonts w:ascii="Times New Roman" w:hAnsi="Times New Roman" w:cs="Times New Roman"/>
        </w:rPr>
        <w:t xml:space="preserve"> year</w:t>
      </w:r>
      <w:r w:rsidRPr="00A67B7B">
        <w:rPr>
          <w:rFonts w:ascii="Times New Roman" w:hAnsi="Times New Roman" w:cs="Times New Roman"/>
          <w:vertAlign w:val="superscript"/>
        </w:rPr>
        <w:t>-1</w:t>
      </w:r>
      <w:r w:rsidRPr="00A67B7B">
        <w:rPr>
          <w:rFonts w:ascii="Times New Roman" w:hAnsi="Times New Roman" w:cs="Times New Roman"/>
        </w:rPr>
        <w:t>). The point at which the DRTO (Dry Tortugas) and FLK (Florida Keys) linear regression lines pass the x-axis represents the minimum % live coral cover required to maintain positive reef development (8.2% for DRTO, 10.5% for FLK). Grey zonation surrounding the regression lines represents 95% confidence interval.</w:t>
      </w:r>
    </w:p>
    <w:p w14:paraId="0A104FA4" w14:textId="77777777" w:rsidR="00A67B7B" w:rsidRPr="00276DDE" w:rsidRDefault="00A67B7B">
      <w:pPr>
        <w:rPr>
          <w:b/>
        </w:rPr>
      </w:pPr>
    </w:p>
    <w:sectPr w:rsidR="00A67B7B" w:rsidRPr="00276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75"/>
    <w:rsid w:val="00276DDE"/>
    <w:rsid w:val="00416041"/>
    <w:rsid w:val="007C1AFD"/>
    <w:rsid w:val="007F2D87"/>
    <w:rsid w:val="009D6575"/>
    <w:rsid w:val="00A017E3"/>
    <w:rsid w:val="00A67B7B"/>
    <w:rsid w:val="00DD508B"/>
    <w:rsid w:val="00EB0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4C91"/>
  <w15:chartTrackingRefBased/>
  <w15:docId w15:val="{6A1C02C4-C1EF-4A46-98F6-7760FAA8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NESDIS</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Manzello</dc:creator>
  <cp:keywords/>
  <dc:description/>
  <cp:lastModifiedBy>Morris, John</cp:lastModifiedBy>
  <cp:revision>5</cp:revision>
  <dcterms:created xsi:type="dcterms:W3CDTF">2022-03-23T20:23:00Z</dcterms:created>
  <dcterms:modified xsi:type="dcterms:W3CDTF">2022-06-01T20:29:00Z</dcterms:modified>
</cp:coreProperties>
</file>