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4AB2AA" w14:textId="3BBDA34D" w:rsidR="00857B88" w:rsidRDefault="000579A6" w:rsidP="00C53FD6">
      <w:pPr>
        <w:pBdr>
          <w:top w:val="nil"/>
          <w:left w:val="nil"/>
          <w:bottom w:val="nil"/>
          <w:right w:val="nil"/>
          <w:between w:val="nil"/>
          <w:bar w:val="nil"/>
        </w:pBdr>
        <w:contextualSpacing/>
        <w:jc w:val="center"/>
        <w:rPr>
          <w:rFonts w:eastAsia="Calibri"/>
          <w:b/>
          <w:color w:val="000000"/>
          <w:sz w:val="28"/>
          <w:szCs w:val="22"/>
          <w:u w:color="000000"/>
          <w:bdr w:val="nil"/>
        </w:rPr>
      </w:pPr>
      <w:r>
        <w:rPr>
          <w:rFonts w:eastAsia="Calibri"/>
          <w:b/>
          <w:noProof/>
          <w:color w:val="000000"/>
          <w:sz w:val="28"/>
          <w:szCs w:val="22"/>
          <w:u w:color="000000"/>
          <w:bdr w:val="nil"/>
        </w:rPr>
        <w:drawing>
          <wp:inline distT="0" distB="0" distL="0" distR="0" wp14:anchorId="2EFFA8D0" wp14:editId="1AD014E0">
            <wp:extent cx="5943600" cy="2143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4DCA1" w14:textId="77777777" w:rsidR="00857B88" w:rsidRDefault="00857B88" w:rsidP="00857B88">
      <w:pPr>
        <w:pBdr>
          <w:top w:val="nil"/>
          <w:left w:val="nil"/>
          <w:bottom w:val="nil"/>
          <w:right w:val="nil"/>
          <w:between w:val="nil"/>
          <w:bar w:val="nil"/>
        </w:pBdr>
        <w:contextualSpacing/>
        <w:rPr>
          <w:rFonts w:eastAsia="Calibri"/>
          <w:b/>
          <w:color w:val="000000"/>
          <w:sz w:val="28"/>
          <w:szCs w:val="22"/>
          <w:u w:color="000000"/>
          <w:bdr w:val="nil"/>
        </w:rPr>
      </w:pPr>
    </w:p>
    <w:p w14:paraId="5F80ECA8" w14:textId="1040846B" w:rsidR="00C64324" w:rsidRDefault="00857B88" w:rsidP="00857B88">
      <w:pPr>
        <w:spacing w:line="480" w:lineRule="auto"/>
        <w:rPr>
          <w:b/>
        </w:rPr>
      </w:pPr>
      <w:r>
        <w:rPr>
          <w:b/>
        </w:rPr>
        <w:t>Supplemental Figure 1</w:t>
      </w:r>
      <w:r w:rsidRPr="00B816DE">
        <w:rPr>
          <w:b/>
        </w:rPr>
        <w:t xml:space="preserve">. </w:t>
      </w:r>
      <w:r w:rsidR="00800635">
        <w:rPr>
          <w:b/>
        </w:rPr>
        <w:t>Stability of housekeeping genes in RNA sequencing and qPCR</w:t>
      </w:r>
      <w:r w:rsidRPr="00B816DE">
        <w:rPr>
          <w:b/>
        </w:rPr>
        <w:t>.</w:t>
      </w:r>
      <w:r w:rsidR="00800635">
        <w:rPr>
          <w:b/>
        </w:rPr>
        <w:t xml:space="preserve"> </w:t>
      </w:r>
      <w:r w:rsidR="00800635" w:rsidRPr="00C64324">
        <w:t>Variation between control and aneurysm</w:t>
      </w:r>
      <w:bookmarkStart w:id="0" w:name="_GoBack"/>
      <w:bookmarkEnd w:id="0"/>
      <w:r w:rsidR="00800635" w:rsidRPr="00C64324">
        <w:t xml:space="preserve"> in TPM normalized expression levels from RNA sequencing</w:t>
      </w:r>
      <w:r w:rsidRPr="00C64324">
        <w:t xml:space="preserve"> </w:t>
      </w:r>
      <w:r w:rsidR="00800635" w:rsidRPr="00C64324">
        <w:t>and C</w:t>
      </w:r>
      <w:r w:rsidR="00800635" w:rsidRPr="00C64324">
        <w:rPr>
          <w:vertAlign w:val="subscript"/>
        </w:rPr>
        <w:t>t</w:t>
      </w:r>
      <w:r w:rsidR="00800635" w:rsidRPr="00C64324">
        <w:t xml:space="preserve"> values from qPCR for each housekeeping gene across all samples on which qPCR was performed were compared by an F-test (significance was defined as p&lt;0.01). We also report their coefficient of variation in the </w:t>
      </w:r>
      <w:r w:rsidR="00C64324">
        <w:t>control</w:t>
      </w:r>
      <w:r w:rsidR="00800635" w:rsidRPr="00C64324">
        <w:t xml:space="preserve"> and </w:t>
      </w:r>
      <w:r w:rsidR="00C64324">
        <w:t>aneurysm</w:t>
      </w:r>
      <w:r w:rsidR="00800635" w:rsidRPr="00C64324">
        <w:t xml:space="preserve"> groups. A). Based on RNA sequencing data, there was no significant difference across the housekeeping genes between the control and aneurysm groups. All coefficient</w:t>
      </w:r>
      <w:r w:rsidR="001C22BE">
        <w:t>s</w:t>
      </w:r>
      <w:r w:rsidR="00800635" w:rsidRPr="00C64324">
        <w:t xml:space="preserve"> of variation </w:t>
      </w:r>
      <w:r w:rsidR="00C64324">
        <w:t>were</w:t>
      </w:r>
      <w:r w:rsidR="00800635" w:rsidRPr="00C64324">
        <w:t xml:space="preserve"> low </w:t>
      </w:r>
      <w:r w:rsidR="006B0AA4">
        <w:t xml:space="preserve">(&lt;0.9) </w:t>
      </w:r>
      <w:r w:rsidR="00800635" w:rsidRPr="00C64324">
        <w:t>and comparable between control and aneurysm.</w:t>
      </w:r>
      <w:r w:rsidR="00C64324" w:rsidRPr="00C64324">
        <w:t xml:space="preserve"> B). Based on </w:t>
      </w:r>
      <w:r w:rsidR="00C64324">
        <w:t>qPCR</w:t>
      </w:r>
      <w:r w:rsidR="00C64324" w:rsidRPr="00C64324">
        <w:t xml:space="preserve"> data, there was</w:t>
      </w:r>
      <w:r w:rsidR="00C64324">
        <w:t xml:space="preserve"> also</w:t>
      </w:r>
      <w:r w:rsidR="00C64324" w:rsidRPr="00C64324">
        <w:t xml:space="preserve"> no significant difference across the housekeeping genes between the control and aneurysm groups. All coefficient</w:t>
      </w:r>
      <w:r w:rsidR="001C22BE">
        <w:t>s</w:t>
      </w:r>
      <w:r w:rsidR="00C64324" w:rsidRPr="00C64324">
        <w:t xml:space="preserve"> of variation were </w:t>
      </w:r>
      <w:r w:rsidR="00C64324">
        <w:t xml:space="preserve">also </w:t>
      </w:r>
      <w:r w:rsidR="00C64324" w:rsidRPr="00C64324">
        <w:t>low</w:t>
      </w:r>
      <w:r w:rsidR="006B0AA4">
        <w:t xml:space="preserve"> (&lt;0.07)</w:t>
      </w:r>
      <w:r w:rsidR="00C64324" w:rsidRPr="00C64324">
        <w:t xml:space="preserve"> and comparable between control and aneurysm.</w:t>
      </w:r>
      <w:r w:rsidR="006B0AA4">
        <w:t xml:space="preserve"> For all graphs, error bars represent standard error. (CV=coefficient of variation)</w:t>
      </w:r>
    </w:p>
    <w:p w14:paraId="7003DB42" w14:textId="77777777" w:rsidR="00C64324" w:rsidRDefault="00C64324" w:rsidP="00857B88">
      <w:pPr>
        <w:spacing w:line="480" w:lineRule="auto"/>
        <w:rPr>
          <w:b/>
        </w:rPr>
      </w:pPr>
    </w:p>
    <w:p w14:paraId="5EFF5CA0" w14:textId="77777777" w:rsidR="00D02F66" w:rsidRDefault="000579A6"/>
    <w:sectPr w:rsidR="00D02F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B88"/>
    <w:rsid w:val="000579A6"/>
    <w:rsid w:val="00147341"/>
    <w:rsid w:val="001C22BE"/>
    <w:rsid w:val="006B0AA4"/>
    <w:rsid w:val="00800635"/>
    <w:rsid w:val="00834D90"/>
    <w:rsid w:val="00857B88"/>
    <w:rsid w:val="00C53FD6"/>
    <w:rsid w:val="00C64324"/>
    <w:rsid w:val="00E6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43F96"/>
  <w15:chartTrackingRefBased/>
  <w15:docId w15:val="{962ED281-E2E3-4C4D-A04C-AF1498225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7B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22B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2BE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vincentt</dc:creator>
  <cp:keywords/>
  <dc:description/>
  <cp:lastModifiedBy>Vincent Tutino</cp:lastModifiedBy>
  <cp:revision>4</cp:revision>
  <dcterms:created xsi:type="dcterms:W3CDTF">2020-09-10T17:00:00Z</dcterms:created>
  <dcterms:modified xsi:type="dcterms:W3CDTF">2020-09-16T03:43:00Z</dcterms:modified>
</cp:coreProperties>
</file>