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5C3F8" w14:textId="596646E2" w:rsidR="002F13CB" w:rsidRPr="00BD04E9" w:rsidRDefault="002F13CB" w:rsidP="00BD04E9">
      <w:pPr>
        <w:pStyle w:val="1"/>
        <w:spacing w:line="480" w:lineRule="auto"/>
        <w:rPr>
          <w:rFonts w:ascii="Arial" w:eastAsiaTheme="minorEastAsia" w:hAnsi="Arial" w:cs="Arial"/>
          <w:b/>
          <w:bCs/>
        </w:rPr>
      </w:pPr>
      <w:bookmarkStart w:id="0" w:name="_Hlk42162627"/>
      <w:r w:rsidRPr="00BD04E9">
        <w:rPr>
          <w:rFonts w:ascii="Arial" w:eastAsiaTheme="minorEastAsia" w:hAnsi="Arial" w:cs="Arial"/>
          <w:b/>
          <w:bCs/>
        </w:rPr>
        <w:t>Material and methods</w:t>
      </w:r>
    </w:p>
    <w:p w14:paraId="33900D73" w14:textId="04760761" w:rsidR="00AA5146" w:rsidRPr="00BD04E9" w:rsidRDefault="00AA5146" w:rsidP="00BD04E9">
      <w:pPr>
        <w:pStyle w:val="2"/>
        <w:ind w:left="0"/>
        <w:rPr>
          <w:rFonts w:ascii="Arial" w:eastAsia="Arial" w:hAnsi="Arial" w:cs="Arial"/>
          <w:szCs w:val="24"/>
        </w:rPr>
      </w:pPr>
      <w:r w:rsidRPr="00BD04E9">
        <w:rPr>
          <w:rFonts w:ascii="Arial" w:eastAsia="Arial" w:hAnsi="Arial" w:cs="Arial"/>
          <w:szCs w:val="24"/>
        </w:rPr>
        <w:t>Immunohistochemistry</w:t>
      </w:r>
    </w:p>
    <w:p w14:paraId="721FC457" w14:textId="5BFAC5C0" w:rsidR="0016392E" w:rsidRPr="00BD04E9" w:rsidRDefault="00AA5146" w:rsidP="00BD04E9">
      <w:pPr>
        <w:spacing w:line="480" w:lineRule="auto"/>
        <w:ind w:firstLine="480"/>
        <w:jc w:val="left"/>
        <w:rPr>
          <w:rFonts w:ascii="Arial" w:hAnsi="Arial" w:cs="Arial"/>
          <w:sz w:val="24"/>
          <w:szCs w:val="24"/>
        </w:rPr>
      </w:pPr>
      <w:r w:rsidRPr="00BD04E9">
        <w:rPr>
          <w:rFonts w:ascii="Arial" w:eastAsia="Arial" w:hAnsi="Arial" w:cs="Arial"/>
          <w:sz w:val="24"/>
          <w:szCs w:val="24"/>
        </w:rPr>
        <w:t>Formalin-fixed paraffin-embedded</w:t>
      </w:r>
      <w:r w:rsidR="0016392E" w:rsidRPr="00BD04E9">
        <w:rPr>
          <w:rFonts w:ascii="Arial" w:eastAsia="Arial" w:hAnsi="Arial" w:cs="Arial"/>
          <w:sz w:val="24"/>
          <w:szCs w:val="24"/>
        </w:rPr>
        <w:t xml:space="preserve"> (FFPE)</w:t>
      </w:r>
      <w:r w:rsidRPr="00BD04E9">
        <w:rPr>
          <w:rFonts w:ascii="Arial" w:eastAsia="Arial" w:hAnsi="Arial" w:cs="Arial"/>
          <w:sz w:val="24"/>
          <w:szCs w:val="24"/>
        </w:rPr>
        <w:t xml:space="preserve"> tumor samples were sliced into 4 </w:t>
      </w:r>
      <w:r w:rsidRPr="00BD04E9">
        <w:rPr>
          <w:rFonts w:ascii="Arial" w:eastAsia="Arial" w:hAnsi="Arial" w:cs="Arial"/>
          <w:color w:val="131413"/>
          <w:sz w:val="24"/>
          <w:szCs w:val="24"/>
        </w:rPr>
        <w:t>μm</w:t>
      </w:r>
      <w:r w:rsidRPr="00BD04E9">
        <w:rPr>
          <w:rFonts w:ascii="Arial" w:eastAsia="Arial" w:hAnsi="Arial" w:cs="Arial"/>
          <w:sz w:val="24"/>
          <w:szCs w:val="24"/>
        </w:rPr>
        <w:t xml:space="preserve"> sections for the immunohistochemical analyses. The immunohistochemistry of each marker was performed using the antibodies</w:t>
      </w:r>
      <w:r w:rsidR="00923422" w:rsidRPr="00BD04E9">
        <w:rPr>
          <w:rFonts w:ascii="Arial" w:eastAsia="Arial" w:hAnsi="Arial" w:cs="Arial"/>
          <w:sz w:val="24"/>
          <w:szCs w:val="24"/>
        </w:rPr>
        <w:t xml:space="preserve"> shown in Supplementary Table</w:t>
      </w:r>
      <w:r w:rsidR="00D27E70" w:rsidRPr="00BD04E9">
        <w:rPr>
          <w:rFonts w:ascii="Arial" w:eastAsia="Arial" w:hAnsi="Arial" w:cs="Arial"/>
          <w:sz w:val="24"/>
          <w:szCs w:val="24"/>
        </w:rPr>
        <w:t xml:space="preserve"> 1</w:t>
      </w:r>
      <w:r w:rsidRPr="00BD04E9">
        <w:rPr>
          <w:rFonts w:ascii="Arial" w:eastAsia="Arial" w:hAnsi="Arial" w:cs="Arial"/>
          <w:sz w:val="24"/>
          <w:szCs w:val="24"/>
        </w:rPr>
        <w:t>. Antigen retrieval was performed using Cell Conditioning Solution (CC1-buffer) (Roche Diagnostics). Visualization was performed using the OptiView DAB Universal Kit for PD-L1 (Roche Diagnostics)</w:t>
      </w:r>
      <w:r w:rsidR="00B51BE2" w:rsidRPr="00BD04E9">
        <w:rPr>
          <w:rFonts w:ascii="Arial" w:eastAsia="Arial" w:hAnsi="Arial" w:cs="Arial"/>
          <w:sz w:val="24"/>
          <w:szCs w:val="24"/>
        </w:rPr>
        <w:t>,</w:t>
      </w:r>
      <w:r w:rsidRPr="00BD04E9">
        <w:rPr>
          <w:rFonts w:ascii="Arial" w:eastAsia="Arial" w:hAnsi="Arial" w:cs="Arial"/>
          <w:sz w:val="24"/>
          <w:szCs w:val="24"/>
        </w:rPr>
        <w:t xml:space="preserve"> and the iView DAB Universal Kit for the other antibodies (Roche Diagnostics). Hematoxylin was used for counterstaining. Immunoreactivity was assessed by the </w:t>
      </w:r>
      <w:r w:rsidR="00B51BE2" w:rsidRPr="00BD04E9">
        <w:rPr>
          <w:rFonts w:ascii="Arial" w:eastAsia="Arial" w:hAnsi="Arial" w:cs="Arial"/>
          <w:sz w:val="24"/>
          <w:szCs w:val="24"/>
        </w:rPr>
        <w:t>genitourinary pathologist (YM)</w:t>
      </w:r>
      <w:r w:rsidRPr="00BD04E9">
        <w:rPr>
          <w:rFonts w:ascii="Arial" w:eastAsia="Arial" w:hAnsi="Arial" w:cs="Arial"/>
          <w:sz w:val="24"/>
          <w:szCs w:val="24"/>
        </w:rPr>
        <w:t>.</w:t>
      </w:r>
    </w:p>
    <w:p w14:paraId="3E814C63" w14:textId="77777777" w:rsidR="00AD3797" w:rsidRPr="00BD04E9" w:rsidRDefault="00AD3797" w:rsidP="00BD04E9">
      <w:pPr>
        <w:spacing w:line="480" w:lineRule="auto"/>
        <w:jc w:val="left"/>
        <w:rPr>
          <w:rFonts w:ascii="Arial" w:hAnsi="Arial" w:cs="Arial"/>
          <w:sz w:val="24"/>
          <w:szCs w:val="24"/>
        </w:rPr>
      </w:pPr>
    </w:p>
    <w:p w14:paraId="2F732705" w14:textId="2063FD2B" w:rsidR="00CA22EE" w:rsidRPr="00BD04E9" w:rsidRDefault="00AA5146" w:rsidP="00BD04E9">
      <w:pPr>
        <w:pStyle w:val="2"/>
        <w:ind w:left="480"/>
        <w:rPr>
          <w:rFonts w:ascii="Arial" w:eastAsia="Arial" w:hAnsi="Arial" w:cs="Arial"/>
          <w:b w:val="0"/>
          <w:sz w:val="22"/>
        </w:rPr>
      </w:pPr>
      <w:r w:rsidRPr="00BD04E9">
        <w:rPr>
          <w:rFonts w:ascii="Arial" w:eastAsia="Arial" w:hAnsi="Arial" w:cs="Arial"/>
          <w:bCs/>
          <w:szCs w:val="24"/>
        </w:rPr>
        <w:t>PD-L1 expression</w:t>
      </w:r>
      <w:r w:rsidR="002F13CB" w:rsidRPr="00BD04E9">
        <w:rPr>
          <w:rFonts w:ascii="Arial" w:eastAsia="Arial" w:hAnsi="Arial" w:cs="Arial"/>
          <w:bCs/>
          <w:szCs w:val="24"/>
        </w:rPr>
        <w:t xml:space="preserve"> analysis</w:t>
      </w:r>
    </w:p>
    <w:p w14:paraId="5A9FACFF" w14:textId="4F9B8643" w:rsidR="00AA5146" w:rsidRPr="00BD04E9" w:rsidRDefault="00AA5146" w:rsidP="00BD04E9">
      <w:pPr>
        <w:spacing w:line="480" w:lineRule="auto"/>
        <w:ind w:firstLine="480"/>
        <w:rPr>
          <w:rFonts w:ascii="Arial" w:eastAsia="Arial" w:hAnsi="Arial" w:cs="Arial"/>
          <w:b/>
          <w:bCs/>
          <w:sz w:val="24"/>
          <w:szCs w:val="24"/>
        </w:rPr>
      </w:pPr>
      <w:r w:rsidRPr="00BD04E9">
        <w:rPr>
          <w:rFonts w:ascii="Arial" w:eastAsia="Arial" w:hAnsi="Arial" w:cs="Arial"/>
          <w:bCs/>
          <w:sz w:val="24"/>
          <w:szCs w:val="24"/>
        </w:rPr>
        <w:t>We used the SP263 assay for PD-L1 expression, which shows PD-L1 staining that is highly concordant with the 22C3 assay</w:t>
      </w:r>
      <w:r w:rsidR="00AD3797" w:rsidRPr="00BD04E9">
        <w:rPr>
          <w:rFonts w:ascii="Arial" w:eastAsia="Arial" w:hAnsi="Arial" w:cs="Arial"/>
          <w:b/>
          <w:bCs/>
          <w:sz w:val="24"/>
          <w:szCs w:val="24"/>
        </w:rPr>
        <w:t>.</w:t>
      </w:r>
      <w:hyperlink w:anchor="_ENREF_1" w:tooltip="Zajac, 2019 #80" w:history="1">
        <w:r w:rsidR="004A7823">
          <w:rPr>
            <w:rFonts w:ascii="Arial" w:hAnsi="Arial" w:cs="Arial"/>
            <w:bCs/>
            <w:kern w:val="0"/>
            <w:sz w:val="24"/>
            <w:szCs w:val="24"/>
          </w:rPr>
          <w:fldChar w:fldCharType="begin">
            <w:fldData xml:space="preserve">PEVuZE5vdGU+PENpdGU+PEF1dGhvcj5aYWphYzwvQXV0aG9yPjxZZWFyPjIwMTk8L1llYXI+PFJl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==
</w:fldData>
          </w:fldChar>
        </w:r>
        <w:r w:rsidR="004A7823">
          <w:rPr>
            <w:rFonts w:ascii="Arial" w:hAnsi="Arial" w:cs="Arial"/>
            <w:bCs/>
            <w:kern w:val="0"/>
            <w:sz w:val="24"/>
            <w:szCs w:val="24"/>
          </w:rPr>
          <w:instrText xml:space="preserve"> ADDIN EN.CITE </w:instrText>
        </w:r>
        <w:r w:rsidR="004A7823">
          <w:rPr>
            <w:rFonts w:ascii="Arial" w:hAnsi="Arial" w:cs="Arial"/>
            <w:bCs/>
            <w:kern w:val="0"/>
            <w:sz w:val="24"/>
            <w:szCs w:val="24"/>
          </w:rPr>
          <w:fldChar w:fldCharType="begin">
            <w:fldData xml:space="preserve">PEVuZE5vdGU+PENpdGU+PEF1dGhvcj5aYWphYzwvQXV0aG9yPjxZZWFyPjIwMTk8L1llYXI+PFJl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==
</w:fldData>
          </w:fldChar>
        </w:r>
        <w:r w:rsidR="004A7823">
          <w:rPr>
            <w:rFonts w:ascii="Arial" w:hAnsi="Arial" w:cs="Arial"/>
            <w:bCs/>
            <w:kern w:val="0"/>
            <w:sz w:val="24"/>
            <w:szCs w:val="24"/>
          </w:rPr>
          <w:instrText xml:space="preserve"> ADDIN EN.CITE.DATA </w:instrText>
        </w:r>
        <w:r w:rsidR="004A7823">
          <w:rPr>
            <w:rFonts w:ascii="Arial" w:hAnsi="Arial" w:cs="Arial"/>
            <w:bCs/>
            <w:kern w:val="0"/>
            <w:sz w:val="24"/>
            <w:szCs w:val="24"/>
          </w:rPr>
        </w:r>
        <w:r w:rsidR="004A7823">
          <w:rPr>
            <w:rFonts w:ascii="Arial" w:hAnsi="Arial" w:cs="Arial"/>
            <w:bCs/>
            <w:kern w:val="0"/>
            <w:sz w:val="24"/>
            <w:szCs w:val="24"/>
          </w:rPr>
          <w:fldChar w:fldCharType="end"/>
        </w:r>
        <w:r w:rsidR="004A7823">
          <w:rPr>
            <w:rFonts w:ascii="Arial" w:hAnsi="Arial" w:cs="Arial"/>
            <w:bCs/>
            <w:kern w:val="0"/>
            <w:sz w:val="24"/>
            <w:szCs w:val="24"/>
          </w:rPr>
          <w:fldChar w:fldCharType="separate"/>
        </w:r>
        <w:r w:rsidR="004A7823" w:rsidRPr="006458A9">
          <w:rPr>
            <w:rFonts w:ascii="Arial" w:hAnsi="Arial" w:cs="Arial"/>
            <w:bCs/>
            <w:noProof/>
            <w:kern w:val="0"/>
            <w:sz w:val="24"/>
            <w:szCs w:val="24"/>
            <w:vertAlign w:val="superscript"/>
          </w:rPr>
          <w:t>1</w:t>
        </w:r>
        <w:r w:rsidR="004A7823">
          <w:rPr>
            <w:rFonts w:ascii="Arial" w:hAnsi="Arial" w:cs="Arial"/>
            <w:bCs/>
            <w:kern w:val="0"/>
            <w:sz w:val="24"/>
            <w:szCs w:val="24"/>
          </w:rPr>
          <w:fldChar w:fldCharType="end"/>
        </w:r>
      </w:hyperlink>
      <w:r w:rsidRPr="00BD04E9">
        <w:rPr>
          <w:rFonts w:ascii="Arial" w:eastAsia="Arial" w:hAnsi="Arial" w:cs="Arial"/>
          <w:bCs/>
          <w:sz w:val="24"/>
          <w:szCs w:val="24"/>
        </w:rPr>
        <w:t xml:space="preserve"> Based on the SP263 assay scoring algorithm for UC</w:t>
      </w:r>
      <w:r w:rsidR="00AD3797" w:rsidRPr="00BD04E9">
        <w:rPr>
          <w:rFonts w:ascii="Arial" w:eastAsia="ＭＳ 明朝" w:hAnsi="Arial" w:cs="Arial"/>
          <w:b/>
          <w:bCs/>
          <w:sz w:val="24"/>
          <w:szCs w:val="24"/>
        </w:rPr>
        <w:t>,</w:t>
      </w:r>
      <w:hyperlink w:anchor="_ENREF_2" w:tooltip="Zajac, 2019 #86" w:history="1">
        <w:r w:rsidR="004A7823">
          <w:rPr>
            <w:rFonts w:ascii="Arial" w:hAnsi="Arial" w:cs="Arial"/>
            <w:bCs/>
            <w:kern w:val="0"/>
            <w:sz w:val="24"/>
            <w:szCs w:val="24"/>
          </w:rPr>
          <w:fldChar w:fldCharType="begin">
            <w:fldData xml:space="preserve">PEVuZE5vdGU+PENpdGU+PEF1dGhvcj5aYWphYzwvQXV0aG9yPjxZZWFyPjIwMTk8L1llYXI+PFJl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=
</w:fldData>
          </w:fldChar>
        </w:r>
        <w:r w:rsidR="004A7823">
          <w:rPr>
            <w:rFonts w:ascii="Arial" w:hAnsi="Arial" w:cs="Arial"/>
            <w:bCs/>
            <w:kern w:val="0"/>
            <w:sz w:val="24"/>
            <w:szCs w:val="24"/>
          </w:rPr>
          <w:instrText xml:space="preserve"> ADDIN EN.CITE </w:instrText>
        </w:r>
        <w:r w:rsidR="004A7823">
          <w:rPr>
            <w:rFonts w:ascii="Arial" w:hAnsi="Arial" w:cs="Arial"/>
            <w:bCs/>
            <w:kern w:val="0"/>
            <w:sz w:val="24"/>
            <w:szCs w:val="24"/>
          </w:rPr>
          <w:fldChar w:fldCharType="begin">
            <w:fldData xml:space="preserve">PEVuZE5vdGU+PENpdGU+PEF1dGhvcj5aYWphYzwvQXV0aG9yPjxZZWFyPjIwMTk8L1llYXI+PFJl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=
</w:fldData>
          </w:fldChar>
        </w:r>
        <w:r w:rsidR="004A7823">
          <w:rPr>
            <w:rFonts w:ascii="Arial" w:hAnsi="Arial" w:cs="Arial"/>
            <w:bCs/>
            <w:kern w:val="0"/>
            <w:sz w:val="24"/>
            <w:szCs w:val="24"/>
          </w:rPr>
          <w:instrText xml:space="preserve"> ADDIN EN.CITE.DATA </w:instrText>
        </w:r>
        <w:r w:rsidR="004A7823">
          <w:rPr>
            <w:rFonts w:ascii="Arial" w:hAnsi="Arial" w:cs="Arial"/>
            <w:bCs/>
            <w:kern w:val="0"/>
            <w:sz w:val="24"/>
            <w:szCs w:val="24"/>
          </w:rPr>
        </w:r>
        <w:r w:rsidR="004A7823">
          <w:rPr>
            <w:rFonts w:ascii="Arial" w:hAnsi="Arial" w:cs="Arial"/>
            <w:bCs/>
            <w:kern w:val="0"/>
            <w:sz w:val="24"/>
            <w:szCs w:val="24"/>
          </w:rPr>
          <w:fldChar w:fldCharType="end"/>
        </w:r>
        <w:r w:rsidR="004A7823">
          <w:rPr>
            <w:rFonts w:ascii="Arial" w:hAnsi="Arial" w:cs="Arial"/>
            <w:bCs/>
            <w:kern w:val="0"/>
            <w:sz w:val="24"/>
            <w:szCs w:val="24"/>
          </w:rPr>
          <w:fldChar w:fldCharType="separate"/>
        </w:r>
        <w:r w:rsidR="004A7823" w:rsidRPr="006458A9">
          <w:rPr>
            <w:rFonts w:ascii="Arial" w:hAnsi="Arial" w:cs="Arial"/>
            <w:bCs/>
            <w:noProof/>
            <w:kern w:val="0"/>
            <w:sz w:val="24"/>
            <w:szCs w:val="24"/>
            <w:vertAlign w:val="superscript"/>
          </w:rPr>
          <w:t>2</w:t>
        </w:r>
        <w:r w:rsidR="004A7823">
          <w:rPr>
            <w:rFonts w:ascii="Arial" w:hAnsi="Arial" w:cs="Arial"/>
            <w:bCs/>
            <w:kern w:val="0"/>
            <w:sz w:val="24"/>
            <w:szCs w:val="24"/>
          </w:rPr>
          <w:fldChar w:fldCharType="end"/>
        </w:r>
      </w:hyperlink>
      <w:r w:rsidR="006A4D68" w:rsidRPr="00BD04E9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BD04E9">
        <w:rPr>
          <w:rFonts w:ascii="Arial" w:eastAsia="Arial" w:hAnsi="Arial" w:cs="Arial"/>
          <w:bCs/>
          <w:sz w:val="24"/>
          <w:szCs w:val="24"/>
        </w:rPr>
        <w:t xml:space="preserve">we assessed the proportions of tumor cells and immune cells with staining at any intensity above a threshold; tumors were classified as PD-L1–high if staining was ≥25% in either compartment. In cases </w:t>
      </w:r>
      <w:r w:rsidRPr="00BD04E9">
        <w:rPr>
          <w:rFonts w:ascii="Arial" w:eastAsia="Arial" w:hAnsi="Arial" w:cs="Arial"/>
          <w:bCs/>
          <w:sz w:val="24"/>
          <w:szCs w:val="24"/>
        </w:rPr>
        <w:lastRenderedPageBreak/>
        <w:t>where immune cells were 1% or less of the tumor area, tumors were classified as PD-L1–high only if 100% of the immune cells were expressed for PD-L1. Figures 1A and 1B show examples of PD-L1 expression by immunohistochemistry.</w:t>
      </w:r>
    </w:p>
    <w:p w14:paraId="55B0107A" w14:textId="77777777" w:rsidR="00AD3797" w:rsidRPr="00BD04E9" w:rsidRDefault="00AD3797" w:rsidP="00BD04E9">
      <w:pPr>
        <w:spacing w:line="480" w:lineRule="auto"/>
        <w:rPr>
          <w:rFonts w:ascii="Arial" w:eastAsia="Arial" w:hAnsi="Arial" w:cs="Arial"/>
          <w:bCs/>
          <w:szCs w:val="24"/>
        </w:rPr>
      </w:pPr>
    </w:p>
    <w:p w14:paraId="4ACE39CA" w14:textId="2A2F4AFE" w:rsidR="00AA5146" w:rsidRPr="00BD04E9" w:rsidRDefault="00AA5146" w:rsidP="00BD04E9">
      <w:pPr>
        <w:pStyle w:val="2"/>
        <w:ind w:left="0"/>
        <w:rPr>
          <w:rFonts w:ascii="Arial" w:eastAsia="Arial" w:hAnsi="Arial" w:cs="Arial"/>
          <w:szCs w:val="24"/>
        </w:rPr>
      </w:pPr>
      <w:r w:rsidRPr="00BD04E9">
        <w:rPr>
          <w:rFonts w:ascii="Arial" w:eastAsia="Arial" w:hAnsi="Arial" w:cs="Arial"/>
          <w:i/>
          <w:iCs/>
          <w:szCs w:val="24"/>
        </w:rPr>
        <w:t>CDKN2A/p16</w:t>
      </w:r>
      <w:r w:rsidRPr="00BD04E9">
        <w:rPr>
          <w:rFonts w:ascii="Arial" w:eastAsia="Arial" w:hAnsi="Arial" w:cs="Arial"/>
          <w:szCs w:val="24"/>
        </w:rPr>
        <w:t xml:space="preserve"> homozygous deletion</w:t>
      </w:r>
      <w:r w:rsidR="002F13CB" w:rsidRPr="00BD04E9">
        <w:rPr>
          <w:rFonts w:ascii="Arial" w:eastAsia="Arial" w:hAnsi="Arial" w:cs="Arial"/>
          <w:szCs w:val="24"/>
        </w:rPr>
        <w:t xml:space="preserve"> in FISH</w:t>
      </w:r>
    </w:p>
    <w:p w14:paraId="2474A429" w14:textId="027BF2F8" w:rsidR="002E0625" w:rsidRPr="00BD04E9" w:rsidRDefault="002E0625" w:rsidP="00BD04E9">
      <w:pPr>
        <w:spacing w:line="480" w:lineRule="auto"/>
        <w:ind w:firstLine="840"/>
        <w:rPr>
          <w:rFonts w:ascii="Arial" w:eastAsia="Arial" w:hAnsi="Arial" w:cs="Arial"/>
          <w:color w:val="131413"/>
          <w:sz w:val="24"/>
          <w:szCs w:val="24"/>
        </w:rPr>
      </w:pPr>
      <w:r w:rsidRPr="00BD04E9">
        <w:rPr>
          <w:rFonts w:ascii="Arial" w:eastAsia="Arial" w:hAnsi="Arial" w:cs="Arial"/>
          <w:sz w:val="24"/>
          <w:szCs w:val="24"/>
        </w:rPr>
        <w:t xml:space="preserve">To assess CDKN2A/p16 homozygous deletion in </w:t>
      </w:r>
      <w:r w:rsidR="002F13CB" w:rsidRPr="00BD04E9">
        <w:rPr>
          <w:rFonts w:ascii="Arial" w:eastAsia="Arial" w:hAnsi="Arial" w:cs="Arial"/>
          <w:sz w:val="24"/>
          <w:szCs w:val="24"/>
        </w:rPr>
        <w:t>fluorescence in situ hybridization (FISH)</w:t>
      </w:r>
      <w:r w:rsidRPr="00BD04E9">
        <w:rPr>
          <w:rFonts w:ascii="Arial" w:eastAsia="Arial" w:hAnsi="Arial" w:cs="Arial"/>
          <w:sz w:val="24"/>
          <w:szCs w:val="24"/>
        </w:rPr>
        <w:t>,</w:t>
      </w:r>
      <w:r w:rsidR="006A4D68" w:rsidRPr="00BD04E9">
        <w:rPr>
          <w:rFonts w:ascii="Arial" w:eastAsia="Arial" w:hAnsi="Arial" w:cs="Arial"/>
          <w:sz w:val="24"/>
          <w:szCs w:val="24"/>
        </w:rPr>
        <w:t xml:space="preserve"> FFPE</w:t>
      </w:r>
      <w:r w:rsidRPr="00BD04E9">
        <w:rPr>
          <w:rFonts w:ascii="Arial" w:eastAsia="Arial" w:hAnsi="Arial" w:cs="Arial"/>
          <w:sz w:val="24"/>
          <w:szCs w:val="24"/>
        </w:rPr>
        <w:t xml:space="preserve"> tumor samples were used. </w:t>
      </w:r>
      <w:r w:rsidRPr="00BD04E9">
        <w:rPr>
          <w:rFonts w:ascii="Arial" w:eastAsia="Arial" w:hAnsi="Arial" w:cs="Arial"/>
          <w:color w:val="131413"/>
          <w:sz w:val="24"/>
          <w:szCs w:val="24"/>
        </w:rPr>
        <w:t xml:space="preserve">Paraffin sections (3 μm) were baked for an hour, placed in xylene for 5 min, and dehydrated in 100% ethanol. The slides were treated with heat (95°C) for an hour with a pretreatment reagent (VP2000) before hybridization. After cooling, deproteinization was performed with 0.8% pepsin lysis buffer and 2X saline sodium citrate (SSC) buffer. </w:t>
      </w:r>
      <w:r w:rsidR="00D97A12" w:rsidRPr="00BD04E9">
        <w:rPr>
          <w:rFonts w:ascii="Arial" w:eastAsia="Arial" w:hAnsi="Arial" w:cs="Arial"/>
          <w:color w:val="131413"/>
          <w:sz w:val="24"/>
          <w:szCs w:val="24"/>
        </w:rPr>
        <w:t>D</w:t>
      </w:r>
      <w:r w:rsidRPr="00BD04E9">
        <w:rPr>
          <w:rFonts w:ascii="Arial" w:eastAsia="Arial" w:hAnsi="Arial" w:cs="Arial"/>
          <w:color w:val="131413"/>
          <w:sz w:val="24"/>
          <w:szCs w:val="24"/>
        </w:rPr>
        <w:t>ehydration was</w:t>
      </w:r>
      <w:r w:rsidR="00D97A12" w:rsidRPr="00BD04E9">
        <w:rPr>
          <w:rFonts w:ascii="Arial" w:eastAsia="Arial" w:hAnsi="Arial" w:cs="Arial"/>
          <w:color w:val="131413"/>
          <w:sz w:val="24"/>
          <w:szCs w:val="24"/>
        </w:rPr>
        <w:t xml:space="preserve"> then</w:t>
      </w:r>
      <w:r w:rsidRPr="00BD04E9">
        <w:rPr>
          <w:rFonts w:ascii="Arial" w:eastAsia="Arial" w:hAnsi="Arial" w:cs="Arial"/>
          <w:color w:val="131413"/>
          <w:sz w:val="24"/>
          <w:szCs w:val="24"/>
        </w:rPr>
        <w:t xml:space="preserve"> performed in 70%, 85%, and 100% alcohol solutions for 5 min each, followed by drying. Next, the ZytoDot 2 SEPC CDKN2A/CEN9 probe (ZytoVision, Fischkai, BRV) was used. DNA denaturation was performed at 80 °C for 5 min and placed overnight in a hybridization</w:t>
      </w:r>
      <w:r w:rsidRPr="00BD04E9">
        <w:rPr>
          <w:rFonts w:ascii="Arial" w:hAnsi="Arial" w:cs="Arial"/>
          <w:color w:val="131413"/>
          <w:sz w:val="24"/>
          <w:szCs w:val="24"/>
        </w:rPr>
        <w:t xml:space="preserve"> </w:t>
      </w:r>
      <w:r w:rsidRPr="00BD04E9">
        <w:rPr>
          <w:rFonts w:ascii="Arial" w:eastAsia="Arial" w:hAnsi="Arial" w:cs="Arial"/>
          <w:color w:val="131413"/>
          <w:sz w:val="24"/>
          <w:szCs w:val="24"/>
        </w:rPr>
        <w:t xml:space="preserve">chamber at 37°C. The post-hybridization washes were performed with 2X SSC buffer/0.3% NP-40. The slides were counterstained with DAPI stain. A minimum of 25 cells were analyzed for </w:t>
      </w:r>
      <w:r w:rsidRPr="00BD04E9">
        <w:rPr>
          <w:rFonts w:ascii="Arial" w:eastAsia="Arial" w:hAnsi="Arial" w:cs="Arial"/>
          <w:color w:val="131413"/>
          <w:sz w:val="24"/>
          <w:szCs w:val="24"/>
        </w:rPr>
        <w:lastRenderedPageBreak/>
        <w:t>copy number changes in chromosome 9p21 (</w:t>
      </w:r>
      <w:r w:rsidRPr="00BD04E9">
        <w:rPr>
          <w:rFonts w:ascii="Arial" w:eastAsia="Arial" w:hAnsi="Arial" w:cs="Arial"/>
          <w:i/>
          <w:iCs/>
          <w:sz w:val="24"/>
          <w:szCs w:val="24"/>
        </w:rPr>
        <w:t>CDKN2A/p16</w:t>
      </w:r>
      <w:r w:rsidRPr="00BD04E9">
        <w:rPr>
          <w:rFonts w:ascii="Arial" w:eastAsia="Arial" w:hAnsi="Arial" w:cs="Arial"/>
          <w:color w:val="131413"/>
          <w:sz w:val="24"/>
          <w:szCs w:val="24"/>
        </w:rPr>
        <w:t xml:space="preserve">). When ≥15 cells showed zero </w:t>
      </w:r>
      <w:r w:rsidRPr="00BD04E9">
        <w:rPr>
          <w:rFonts w:ascii="Arial" w:eastAsia="Arial" w:hAnsi="Arial" w:cs="Arial"/>
          <w:i/>
          <w:iCs/>
          <w:sz w:val="24"/>
          <w:szCs w:val="24"/>
        </w:rPr>
        <w:t>CDKN2A/p16</w:t>
      </w:r>
      <w:r w:rsidRPr="00BD04E9">
        <w:rPr>
          <w:rFonts w:ascii="Arial" w:eastAsia="Arial" w:hAnsi="Arial" w:cs="Arial"/>
          <w:color w:val="131413"/>
          <w:sz w:val="24"/>
          <w:szCs w:val="24"/>
        </w:rPr>
        <w:t xml:space="preserve"> signals, it was regarded as homozygous deletion. </w:t>
      </w:r>
      <w:hyperlink w:anchor="_ENREF_3" w:tooltip="Sun, 2017 #137" w:history="1">
        <w:r w:rsidR="004A7823">
          <w:rPr>
            <w:rFonts w:ascii="Arial" w:eastAsia="Arial" w:hAnsi="Arial" w:cs="Arial"/>
            <w:color w:val="131413"/>
            <w:sz w:val="24"/>
            <w:szCs w:val="24"/>
          </w:rPr>
          <w:fldChar w:fldCharType="begin">
            <w:fldData xml:space="preserve">PEVuZE5vdGU+PENpdGU+PEF1dGhvcj5TdW48L0F1dGhvcj48WWVhcj4yMDE3PC9ZZWFyPjxSZWNO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</w:fldData>
          </w:fldChar>
        </w:r>
        <w:r w:rsidR="004A7823">
          <w:rPr>
            <w:rFonts w:ascii="Arial" w:eastAsia="Arial" w:hAnsi="Arial" w:cs="Arial"/>
            <w:color w:val="131413"/>
            <w:sz w:val="24"/>
            <w:szCs w:val="24"/>
          </w:rPr>
          <w:instrText xml:space="preserve"> ADDIN EN.CITE </w:instrText>
        </w:r>
        <w:r w:rsidR="004A7823">
          <w:rPr>
            <w:rFonts w:ascii="Arial" w:eastAsia="Arial" w:hAnsi="Arial" w:cs="Arial"/>
            <w:color w:val="131413"/>
            <w:sz w:val="24"/>
            <w:szCs w:val="24"/>
          </w:rPr>
          <w:fldChar w:fldCharType="begin">
            <w:fldData xml:space="preserve">PEVuZE5vdGU+PENpdGU+PEF1dGhvcj5TdW48L0F1dGhvcj48WWVhcj4yMDE3PC9ZZWFyPjxSZWNO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</w:fldData>
          </w:fldChar>
        </w:r>
        <w:r w:rsidR="004A7823">
          <w:rPr>
            <w:rFonts w:ascii="Arial" w:eastAsia="Arial" w:hAnsi="Arial" w:cs="Arial"/>
            <w:color w:val="131413"/>
            <w:sz w:val="24"/>
            <w:szCs w:val="24"/>
          </w:rPr>
          <w:instrText xml:space="preserve"> ADDIN EN.CITE.DATA </w:instrText>
        </w:r>
        <w:r w:rsidR="004A7823">
          <w:rPr>
            <w:rFonts w:ascii="Arial" w:eastAsia="Arial" w:hAnsi="Arial" w:cs="Arial"/>
            <w:color w:val="131413"/>
            <w:sz w:val="24"/>
            <w:szCs w:val="24"/>
          </w:rPr>
        </w:r>
        <w:r w:rsidR="004A7823">
          <w:rPr>
            <w:rFonts w:ascii="Arial" w:eastAsia="Arial" w:hAnsi="Arial" w:cs="Arial"/>
            <w:color w:val="131413"/>
            <w:sz w:val="24"/>
            <w:szCs w:val="24"/>
          </w:rPr>
          <w:fldChar w:fldCharType="end"/>
        </w:r>
        <w:r w:rsidR="004A7823">
          <w:rPr>
            <w:rFonts w:ascii="Arial" w:eastAsia="Arial" w:hAnsi="Arial" w:cs="Arial"/>
            <w:color w:val="131413"/>
            <w:sz w:val="24"/>
            <w:szCs w:val="24"/>
          </w:rPr>
          <w:fldChar w:fldCharType="separate"/>
        </w:r>
        <w:r w:rsidR="004A7823" w:rsidRPr="006458A9">
          <w:rPr>
            <w:rFonts w:ascii="Arial" w:eastAsia="Arial" w:hAnsi="Arial" w:cs="Arial"/>
            <w:noProof/>
            <w:color w:val="131413"/>
            <w:sz w:val="24"/>
            <w:szCs w:val="24"/>
            <w:vertAlign w:val="superscript"/>
          </w:rPr>
          <w:t>3</w:t>
        </w:r>
        <w:r w:rsidR="004A7823">
          <w:rPr>
            <w:rFonts w:ascii="Arial" w:eastAsia="Arial" w:hAnsi="Arial" w:cs="Arial"/>
            <w:color w:val="131413"/>
            <w:sz w:val="24"/>
            <w:szCs w:val="24"/>
          </w:rPr>
          <w:fldChar w:fldCharType="end"/>
        </w:r>
      </w:hyperlink>
      <w:r w:rsidRPr="00BD04E9">
        <w:rPr>
          <w:rFonts w:ascii="Arial" w:eastAsia="Arial" w:hAnsi="Arial" w:cs="Arial"/>
          <w:color w:val="131413"/>
          <w:sz w:val="24"/>
          <w:szCs w:val="24"/>
        </w:rPr>
        <w:t xml:space="preserve"> If no abnormalities were detected, the remaining cells were counted until 100 cells were evaluated. </w:t>
      </w:r>
    </w:p>
    <w:p w14:paraId="415A3A68" w14:textId="77777777" w:rsidR="00230266" w:rsidRPr="00BD04E9" w:rsidRDefault="00230266" w:rsidP="00BD04E9">
      <w:pPr>
        <w:spacing w:line="480" w:lineRule="auto"/>
        <w:rPr>
          <w:rFonts w:ascii="Arial" w:hAnsi="Arial" w:cs="Arial"/>
          <w:szCs w:val="24"/>
        </w:rPr>
      </w:pPr>
    </w:p>
    <w:p w14:paraId="0BA4433B" w14:textId="5425988D" w:rsidR="00217514" w:rsidRPr="00BD04E9" w:rsidRDefault="00217514" w:rsidP="00BD04E9">
      <w:pPr>
        <w:pStyle w:val="2"/>
        <w:ind w:left="0"/>
        <w:rPr>
          <w:rFonts w:ascii="Arial" w:eastAsiaTheme="minorEastAsia" w:hAnsi="Arial" w:cs="Arial"/>
          <w:szCs w:val="24"/>
        </w:rPr>
      </w:pPr>
      <w:r w:rsidRPr="00BD04E9">
        <w:rPr>
          <w:rFonts w:ascii="Arial" w:eastAsiaTheme="minorEastAsia" w:hAnsi="Arial" w:cs="Arial"/>
          <w:szCs w:val="24"/>
        </w:rPr>
        <w:t>Tumor DNA extraction from FFPE sample</w:t>
      </w:r>
    </w:p>
    <w:p w14:paraId="64DEBF34" w14:textId="38E1EF25" w:rsidR="00217514" w:rsidRPr="00BD04E9" w:rsidRDefault="00217514" w:rsidP="00BD04E9">
      <w:pPr>
        <w:spacing w:line="480" w:lineRule="auto"/>
        <w:rPr>
          <w:rFonts w:ascii="Arial" w:hAnsi="Arial" w:cs="Arial"/>
          <w:sz w:val="24"/>
          <w:szCs w:val="24"/>
        </w:rPr>
      </w:pPr>
      <w:r w:rsidRPr="00BD04E9">
        <w:rPr>
          <w:rFonts w:ascii="Arial" w:hAnsi="Arial" w:cs="Arial"/>
          <w:sz w:val="24"/>
          <w:szCs w:val="24"/>
        </w:rPr>
        <w:t xml:space="preserve">Tumor DNA was extracted from FFPE sample using Maxwell RSC DNA FFPE Kit (Promega, </w:t>
      </w:r>
      <w:r w:rsidR="00280A58" w:rsidRPr="00BD04E9">
        <w:rPr>
          <w:rFonts w:ascii="Arial" w:hAnsi="Arial" w:cs="Arial"/>
          <w:sz w:val="24"/>
          <w:szCs w:val="24"/>
        </w:rPr>
        <w:t>Madison</w:t>
      </w:r>
      <w:r w:rsidRPr="00BD04E9">
        <w:rPr>
          <w:rFonts w:ascii="Arial" w:hAnsi="Arial" w:cs="Arial"/>
          <w:sz w:val="24"/>
          <w:szCs w:val="24"/>
        </w:rPr>
        <w:t xml:space="preserve">, </w:t>
      </w:r>
      <w:r w:rsidR="00280A58" w:rsidRPr="00BD04E9">
        <w:rPr>
          <w:rFonts w:ascii="Arial" w:hAnsi="Arial" w:cs="Arial"/>
          <w:sz w:val="24"/>
          <w:szCs w:val="24"/>
        </w:rPr>
        <w:t>WI</w:t>
      </w:r>
      <w:r w:rsidRPr="00BD04E9">
        <w:rPr>
          <w:rFonts w:ascii="Arial" w:hAnsi="Arial" w:cs="Arial"/>
          <w:sz w:val="24"/>
          <w:szCs w:val="24"/>
        </w:rPr>
        <w:t>) after macro</w:t>
      </w:r>
      <w:r w:rsidR="00990516" w:rsidRPr="00BD04E9">
        <w:rPr>
          <w:rFonts w:ascii="Arial" w:hAnsi="Arial" w:cs="Arial"/>
          <w:sz w:val="24"/>
          <w:szCs w:val="24"/>
        </w:rPr>
        <w:t>-</w:t>
      </w:r>
      <w:r w:rsidRPr="00BD04E9">
        <w:rPr>
          <w:rFonts w:ascii="Arial" w:hAnsi="Arial" w:cs="Arial"/>
          <w:sz w:val="24"/>
          <w:szCs w:val="24"/>
        </w:rPr>
        <w:t>dissection for pedunculated tumor and microdissection for flat lesion, respectively; these estimated tumor cell ratio</w:t>
      </w:r>
      <w:r w:rsidR="0008177A" w:rsidRPr="00BD04E9">
        <w:rPr>
          <w:rFonts w:ascii="Arial" w:hAnsi="Arial" w:cs="Arial"/>
          <w:sz w:val="24"/>
          <w:szCs w:val="24"/>
        </w:rPr>
        <w:t>s</w:t>
      </w:r>
      <w:r w:rsidRPr="00BD04E9">
        <w:rPr>
          <w:rFonts w:ascii="Arial" w:hAnsi="Arial" w:cs="Arial"/>
          <w:sz w:val="24"/>
          <w:szCs w:val="24"/>
        </w:rPr>
        <w:t xml:space="preserve"> w</w:t>
      </w:r>
      <w:r w:rsidR="0008177A" w:rsidRPr="00BD04E9">
        <w:rPr>
          <w:rFonts w:ascii="Arial" w:hAnsi="Arial" w:cs="Arial"/>
          <w:sz w:val="24"/>
          <w:szCs w:val="24"/>
        </w:rPr>
        <w:t>ere</w:t>
      </w:r>
      <w:r w:rsidRPr="00BD04E9">
        <w:rPr>
          <w:rFonts w:ascii="Arial" w:hAnsi="Arial" w:cs="Arial"/>
          <w:sz w:val="24"/>
          <w:szCs w:val="24"/>
        </w:rPr>
        <w:t xml:space="preserve"> 80-90%.</w:t>
      </w:r>
    </w:p>
    <w:p w14:paraId="6A8FDFB9" w14:textId="77777777" w:rsidR="00230266" w:rsidRPr="00BD04E9" w:rsidRDefault="00230266" w:rsidP="00BD04E9">
      <w:pPr>
        <w:spacing w:line="480" w:lineRule="auto"/>
        <w:rPr>
          <w:rFonts w:ascii="Arial" w:hAnsi="Arial" w:cs="Arial"/>
          <w:i/>
          <w:iCs/>
          <w:szCs w:val="24"/>
        </w:rPr>
      </w:pPr>
    </w:p>
    <w:p w14:paraId="0945BF31" w14:textId="48E74005" w:rsidR="00B51BE2" w:rsidRPr="00BD04E9" w:rsidRDefault="005E0546" w:rsidP="00BD04E9">
      <w:pPr>
        <w:pStyle w:val="2"/>
        <w:ind w:left="0"/>
        <w:rPr>
          <w:rFonts w:ascii="Arial" w:eastAsiaTheme="minorEastAsia" w:hAnsi="Arial" w:cs="Arial"/>
          <w:szCs w:val="24"/>
        </w:rPr>
      </w:pPr>
      <w:r w:rsidRPr="00BD04E9">
        <w:rPr>
          <w:rFonts w:ascii="Arial" w:eastAsiaTheme="minorEastAsia" w:hAnsi="Arial" w:cs="Arial"/>
          <w:i/>
          <w:iCs/>
          <w:szCs w:val="24"/>
        </w:rPr>
        <w:t>FGFR3</w:t>
      </w:r>
      <w:r w:rsidRPr="00BD04E9">
        <w:rPr>
          <w:rFonts w:ascii="Arial" w:eastAsia="ＭＳ 明朝" w:hAnsi="Arial" w:cs="Arial"/>
          <w:i/>
          <w:iCs/>
          <w:szCs w:val="24"/>
        </w:rPr>
        <w:t xml:space="preserve"> </w:t>
      </w:r>
      <w:r w:rsidR="0008177A" w:rsidRPr="00BD04E9">
        <w:rPr>
          <w:rFonts w:ascii="Arial" w:eastAsia="ＭＳ 明朝" w:hAnsi="Arial" w:cs="Arial"/>
          <w:szCs w:val="24"/>
        </w:rPr>
        <w:t>and</w:t>
      </w:r>
      <w:r w:rsidR="0008177A" w:rsidRPr="00BD04E9">
        <w:rPr>
          <w:rFonts w:ascii="Arial" w:eastAsia="ＭＳ 明朝" w:hAnsi="Arial" w:cs="Arial"/>
          <w:i/>
          <w:iCs/>
          <w:szCs w:val="24"/>
        </w:rPr>
        <w:t xml:space="preserve"> TERT </w:t>
      </w:r>
      <w:r w:rsidR="0008177A" w:rsidRPr="00BD04E9">
        <w:rPr>
          <w:rFonts w:ascii="Arial" w:eastAsia="ＭＳ 明朝" w:hAnsi="Arial" w:cs="Arial"/>
          <w:szCs w:val="24"/>
        </w:rPr>
        <w:t>promotor</w:t>
      </w:r>
      <w:r w:rsidR="0008177A" w:rsidRPr="00BD04E9">
        <w:rPr>
          <w:rFonts w:ascii="Arial" w:eastAsia="ＭＳ 明朝" w:hAnsi="Arial" w:cs="Arial"/>
          <w:i/>
          <w:iCs/>
          <w:szCs w:val="24"/>
        </w:rPr>
        <w:t xml:space="preserve"> </w:t>
      </w:r>
      <w:r w:rsidR="00B51BE2" w:rsidRPr="00BD04E9">
        <w:rPr>
          <w:rFonts w:ascii="Arial" w:eastAsia="Arial" w:hAnsi="Arial" w:cs="Arial"/>
          <w:szCs w:val="24"/>
        </w:rPr>
        <w:t>hotspot mutation</w:t>
      </w:r>
      <w:r w:rsidR="0008177A" w:rsidRPr="00BD04E9">
        <w:rPr>
          <w:rFonts w:ascii="Arial" w:eastAsia="Arial" w:hAnsi="Arial" w:cs="Arial"/>
          <w:szCs w:val="24"/>
        </w:rPr>
        <w:t>s</w:t>
      </w:r>
      <w:r w:rsidR="002F13CB" w:rsidRPr="00BD04E9">
        <w:rPr>
          <w:rFonts w:ascii="Arial" w:eastAsia="Arial" w:hAnsi="Arial" w:cs="Arial"/>
          <w:szCs w:val="24"/>
        </w:rPr>
        <w:t xml:space="preserve"> analysis in Sanger sequencing</w:t>
      </w:r>
    </w:p>
    <w:bookmarkEnd w:id="0"/>
    <w:p w14:paraId="74337ABA" w14:textId="77777777" w:rsidR="006458A9" w:rsidRDefault="0090115A" w:rsidP="00BD04E9">
      <w:pPr>
        <w:spacing w:line="480" w:lineRule="auto"/>
        <w:jc w:val="left"/>
        <w:rPr>
          <w:rFonts w:ascii="Arial" w:hAnsi="Arial" w:cs="Arial"/>
          <w:sz w:val="24"/>
          <w:szCs w:val="24"/>
          <w:shd w:val="clear" w:color="auto" w:fill="FFFFFF"/>
        </w:rPr>
      </w:pPr>
      <w:r w:rsidRPr="00BD04E9">
        <w:rPr>
          <w:rFonts w:ascii="Arial" w:hAnsi="Arial" w:cs="Arial"/>
          <w:sz w:val="24"/>
          <w:szCs w:val="24"/>
        </w:rPr>
        <w:t xml:space="preserve">Tumor DNA was subjected to polymerase chain reaction (PCR) using </w:t>
      </w:r>
      <w:r w:rsidR="00923422" w:rsidRPr="00BD04E9">
        <w:rPr>
          <w:rFonts w:ascii="Arial" w:hAnsi="Arial" w:cs="Arial"/>
          <w:sz w:val="24"/>
          <w:szCs w:val="24"/>
        </w:rPr>
        <w:t>three</w:t>
      </w:r>
      <w:r w:rsidRPr="00BD04E9">
        <w:rPr>
          <w:rFonts w:ascii="Arial" w:hAnsi="Arial" w:cs="Arial"/>
          <w:sz w:val="24"/>
          <w:szCs w:val="24"/>
        </w:rPr>
        <w:t xml:space="preserve"> pair</w:t>
      </w:r>
      <w:r w:rsidR="00923422" w:rsidRPr="00BD04E9">
        <w:rPr>
          <w:rFonts w:ascii="Arial" w:hAnsi="Arial" w:cs="Arial"/>
          <w:sz w:val="24"/>
          <w:szCs w:val="24"/>
        </w:rPr>
        <w:t>s</w:t>
      </w:r>
      <w:r w:rsidRPr="00BD04E9">
        <w:rPr>
          <w:rFonts w:ascii="Arial" w:hAnsi="Arial" w:cs="Arial"/>
          <w:sz w:val="24"/>
          <w:szCs w:val="24"/>
        </w:rPr>
        <w:t xml:space="preserve"> of primers, </w:t>
      </w:r>
      <w:r w:rsidR="00E41BE8" w:rsidRPr="00BD04E9">
        <w:rPr>
          <w:rFonts w:ascii="Arial" w:hAnsi="Arial" w:cs="Arial"/>
          <w:sz w:val="24"/>
          <w:szCs w:val="24"/>
        </w:rPr>
        <w:t>specifically amplify</w:t>
      </w:r>
      <w:r w:rsidR="002B6F53" w:rsidRPr="00BD04E9">
        <w:rPr>
          <w:rFonts w:ascii="Arial" w:hAnsi="Arial" w:cs="Arial"/>
          <w:sz w:val="24"/>
          <w:szCs w:val="24"/>
        </w:rPr>
        <w:t>ing</w:t>
      </w:r>
      <w:r w:rsidR="00E41BE8" w:rsidRPr="00BD04E9">
        <w:rPr>
          <w:rFonts w:ascii="Arial" w:hAnsi="Arial" w:cs="Arial"/>
          <w:sz w:val="24"/>
          <w:szCs w:val="24"/>
        </w:rPr>
        <w:t xml:space="preserve"> the </w:t>
      </w:r>
      <w:r w:rsidR="00E41BE8" w:rsidRPr="00BD04E9">
        <w:rPr>
          <w:rFonts w:ascii="Arial" w:hAnsi="Arial" w:cs="Arial"/>
          <w:i/>
          <w:iCs/>
          <w:sz w:val="24"/>
          <w:szCs w:val="24"/>
        </w:rPr>
        <w:t>FGFR3</w:t>
      </w:r>
      <w:r w:rsidR="00247D27" w:rsidRPr="00BD04E9">
        <w:rPr>
          <w:rFonts w:ascii="Arial" w:hAnsi="Arial" w:cs="Arial"/>
          <w:sz w:val="24"/>
          <w:szCs w:val="24"/>
        </w:rPr>
        <w:t xml:space="preserve"> and </w:t>
      </w:r>
      <w:r w:rsidR="00247D27" w:rsidRPr="00BD04E9">
        <w:rPr>
          <w:rFonts w:ascii="Arial" w:hAnsi="Arial" w:cs="Arial"/>
          <w:i/>
          <w:iCs/>
          <w:sz w:val="24"/>
          <w:szCs w:val="24"/>
        </w:rPr>
        <w:t>TERT</w:t>
      </w:r>
      <w:r w:rsidR="00247D27" w:rsidRPr="00BD04E9">
        <w:rPr>
          <w:rFonts w:ascii="Arial" w:hAnsi="Arial" w:cs="Arial"/>
          <w:sz w:val="24"/>
          <w:szCs w:val="24"/>
        </w:rPr>
        <w:t xml:space="preserve"> promotor</w:t>
      </w:r>
      <w:r w:rsidR="00E41BE8" w:rsidRPr="00BD04E9">
        <w:rPr>
          <w:rFonts w:ascii="Arial" w:hAnsi="Arial" w:cs="Arial"/>
          <w:sz w:val="24"/>
          <w:szCs w:val="24"/>
        </w:rPr>
        <w:t xml:space="preserve"> gene including </w:t>
      </w:r>
      <w:r w:rsidR="00A56540" w:rsidRPr="00BD04E9">
        <w:rPr>
          <w:rFonts w:ascii="Arial" w:hAnsi="Arial" w:cs="Arial"/>
          <w:sz w:val="24"/>
          <w:szCs w:val="24"/>
        </w:rPr>
        <w:t>the</w:t>
      </w:r>
      <w:r w:rsidR="00247D27" w:rsidRPr="00BD04E9">
        <w:rPr>
          <w:rFonts w:ascii="Arial" w:hAnsi="Arial" w:cs="Arial"/>
          <w:sz w:val="24"/>
          <w:szCs w:val="24"/>
        </w:rPr>
        <w:t>se</w:t>
      </w:r>
      <w:r w:rsidR="00A56540" w:rsidRPr="00BD04E9">
        <w:rPr>
          <w:rFonts w:ascii="Arial" w:hAnsi="Arial" w:cs="Arial"/>
          <w:sz w:val="24"/>
          <w:szCs w:val="24"/>
        </w:rPr>
        <w:t xml:space="preserve"> hotspot mutation codons as shown in </w:t>
      </w:r>
      <w:r w:rsidR="006B3DB6" w:rsidRPr="00BD04E9">
        <w:rPr>
          <w:rFonts w:ascii="Arial" w:hAnsi="Arial" w:cs="Arial"/>
          <w:sz w:val="24"/>
          <w:szCs w:val="24"/>
        </w:rPr>
        <w:t>S</w:t>
      </w:r>
      <w:r w:rsidR="00A56540" w:rsidRPr="00BD04E9">
        <w:rPr>
          <w:rFonts w:ascii="Arial" w:hAnsi="Arial" w:cs="Arial"/>
          <w:sz w:val="24"/>
          <w:szCs w:val="24"/>
        </w:rPr>
        <w:t xml:space="preserve">upplementary Table </w:t>
      </w:r>
      <w:r w:rsidR="00247D27" w:rsidRPr="00BD04E9">
        <w:rPr>
          <w:rFonts w:ascii="Arial" w:hAnsi="Arial" w:cs="Arial"/>
          <w:sz w:val="24"/>
          <w:szCs w:val="24"/>
        </w:rPr>
        <w:t>2</w:t>
      </w:r>
      <w:r w:rsidR="00A56540" w:rsidRPr="00BD04E9">
        <w:rPr>
          <w:rFonts w:ascii="Arial" w:hAnsi="Arial" w:cs="Arial"/>
          <w:sz w:val="24"/>
          <w:szCs w:val="24"/>
        </w:rPr>
        <w:t>.</w:t>
      </w:r>
      <w:r w:rsidR="00D27E70" w:rsidRPr="00BD04E9">
        <w:rPr>
          <w:rFonts w:ascii="Arial" w:hAnsi="Arial" w:cs="Arial"/>
          <w:sz w:val="24"/>
          <w:szCs w:val="24"/>
        </w:rPr>
        <w:t xml:space="preserve"> </w:t>
      </w:r>
      <w:r w:rsidR="00D71A83" w:rsidRPr="00BD04E9">
        <w:rPr>
          <w:rFonts w:ascii="Arial" w:hAnsi="Arial" w:cs="Arial"/>
          <w:sz w:val="24"/>
          <w:szCs w:val="24"/>
        </w:rPr>
        <w:t xml:space="preserve">For </w:t>
      </w:r>
      <w:r w:rsidR="00D71A83" w:rsidRPr="00BD04E9">
        <w:rPr>
          <w:rFonts w:ascii="Arial" w:hAnsi="Arial" w:cs="Arial"/>
          <w:i/>
          <w:iCs/>
          <w:sz w:val="24"/>
          <w:szCs w:val="24"/>
        </w:rPr>
        <w:t>FGFR3</w:t>
      </w:r>
      <w:r w:rsidR="00D857CC" w:rsidRPr="00BD04E9">
        <w:rPr>
          <w:rFonts w:ascii="Arial" w:hAnsi="Arial" w:cs="Arial"/>
          <w:sz w:val="24"/>
          <w:szCs w:val="24"/>
        </w:rPr>
        <w:t xml:space="preserve"> and </w:t>
      </w:r>
      <w:r w:rsidR="00D857CC" w:rsidRPr="00BD04E9">
        <w:rPr>
          <w:rFonts w:ascii="Arial" w:hAnsi="Arial" w:cs="Arial"/>
          <w:i/>
          <w:iCs/>
          <w:sz w:val="24"/>
          <w:szCs w:val="24"/>
        </w:rPr>
        <w:t>TERT</w:t>
      </w:r>
      <w:r w:rsidR="00D857CC" w:rsidRPr="00BD04E9">
        <w:rPr>
          <w:rFonts w:ascii="Arial" w:hAnsi="Arial" w:cs="Arial"/>
          <w:sz w:val="24"/>
          <w:szCs w:val="24"/>
        </w:rPr>
        <w:t xml:space="preserve"> promoter</w:t>
      </w:r>
      <w:r w:rsidR="00D71A83" w:rsidRPr="00BD04E9">
        <w:rPr>
          <w:rFonts w:ascii="Arial" w:hAnsi="Arial" w:cs="Arial"/>
          <w:sz w:val="24"/>
          <w:szCs w:val="24"/>
        </w:rPr>
        <w:t>, t</w:t>
      </w:r>
      <w:r w:rsidRPr="00BD04E9">
        <w:rPr>
          <w:rFonts w:ascii="Arial" w:hAnsi="Arial" w:cs="Arial"/>
          <w:sz w:val="24"/>
          <w:szCs w:val="24"/>
        </w:rPr>
        <w:t>he PCR product</w:t>
      </w:r>
      <w:r w:rsidR="00D857CC" w:rsidRPr="00BD04E9">
        <w:rPr>
          <w:rFonts w:ascii="Arial" w:hAnsi="Arial" w:cs="Arial"/>
          <w:sz w:val="24"/>
          <w:szCs w:val="24"/>
        </w:rPr>
        <w:t>s</w:t>
      </w:r>
      <w:r w:rsidRPr="00BD04E9">
        <w:rPr>
          <w:rFonts w:ascii="Arial" w:hAnsi="Arial" w:cs="Arial"/>
          <w:sz w:val="24"/>
          <w:szCs w:val="24"/>
        </w:rPr>
        <w:t xml:space="preserve"> was cleaned using </w:t>
      </w:r>
      <w:proofErr w:type="spellStart"/>
      <w:r w:rsidR="00D71A83" w:rsidRPr="00BD04E9">
        <w:rPr>
          <w:rFonts w:ascii="Arial" w:hAnsi="Arial" w:cs="Arial"/>
          <w:sz w:val="24"/>
          <w:szCs w:val="24"/>
        </w:rPr>
        <w:t>ExoSAP</w:t>
      </w:r>
      <w:proofErr w:type="spellEnd"/>
      <w:r w:rsidR="00D71A83" w:rsidRPr="00BD04E9">
        <w:rPr>
          <w:rFonts w:ascii="Arial" w:hAnsi="Arial" w:cs="Arial"/>
          <w:sz w:val="24"/>
          <w:szCs w:val="24"/>
        </w:rPr>
        <w:t>-IT (Applied Biosystems, Foster City, CA)</w:t>
      </w:r>
      <w:r w:rsidR="00D857CC" w:rsidRPr="00BD04E9">
        <w:rPr>
          <w:rFonts w:ascii="Arial" w:hAnsi="Arial" w:cs="Arial"/>
          <w:sz w:val="24"/>
          <w:szCs w:val="24"/>
        </w:rPr>
        <w:t xml:space="preserve"> and </w:t>
      </w:r>
      <w:r w:rsidR="00D71A83" w:rsidRPr="00BD04E9">
        <w:rPr>
          <w:rFonts w:ascii="Arial" w:hAnsi="Arial" w:cs="Arial"/>
          <w:sz w:val="24"/>
          <w:szCs w:val="24"/>
        </w:rPr>
        <w:t xml:space="preserve">QIA quick PCR purification kit </w:t>
      </w:r>
      <w:r w:rsidR="00D71A83" w:rsidRPr="00BD04E9">
        <w:rPr>
          <w:rFonts w:ascii="Arial" w:hAnsi="Arial" w:cs="Arial"/>
          <w:sz w:val="24"/>
          <w:szCs w:val="24"/>
        </w:rPr>
        <w:lastRenderedPageBreak/>
        <w:t xml:space="preserve">(QIAGEN, </w:t>
      </w:r>
      <w:r w:rsidR="00CC600A" w:rsidRPr="00BD04E9">
        <w:rPr>
          <w:rFonts w:ascii="Arial" w:hAnsi="Arial" w:cs="Arial"/>
          <w:sz w:val="24"/>
          <w:szCs w:val="24"/>
        </w:rPr>
        <w:t>Venlo, PL</w:t>
      </w:r>
      <w:r w:rsidR="00D71A83" w:rsidRPr="00BD04E9">
        <w:rPr>
          <w:rFonts w:ascii="Arial" w:hAnsi="Arial" w:cs="Arial"/>
          <w:sz w:val="24"/>
          <w:szCs w:val="24"/>
        </w:rPr>
        <w:t>)</w:t>
      </w:r>
      <w:r w:rsidR="00D27E70" w:rsidRPr="00BD04E9">
        <w:rPr>
          <w:rFonts w:ascii="Arial" w:hAnsi="Arial" w:cs="Arial"/>
          <w:sz w:val="24"/>
          <w:szCs w:val="24"/>
        </w:rPr>
        <w:t>, respectively</w:t>
      </w:r>
      <w:r w:rsidR="00D857CC" w:rsidRPr="00BD04E9">
        <w:rPr>
          <w:rFonts w:ascii="Arial" w:hAnsi="Arial" w:cs="Arial"/>
          <w:sz w:val="24"/>
          <w:szCs w:val="24"/>
        </w:rPr>
        <w:t xml:space="preserve">. In addition, the PCR product of </w:t>
      </w:r>
      <w:r w:rsidR="00D857CC" w:rsidRPr="00BD04E9">
        <w:rPr>
          <w:rFonts w:ascii="Arial" w:hAnsi="Arial" w:cs="Arial"/>
          <w:i/>
          <w:iCs/>
          <w:sz w:val="24"/>
          <w:szCs w:val="24"/>
        </w:rPr>
        <w:t>TERT</w:t>
      </w:r>
      <w:r w:rsidR="00D857CC" w:rsidRPr="00BD04E9">
        <w:rPr>
          <w:rFonts w:ascii="Arial" w:hAnsi="Arial" w:cs="Arial"/>
          <w:sz w:val="24"/>
          <w:szCs w:val="24"/>
        </w:rPr>
        <w:t xml:space="preserve"> p</w:t>
      </w:r>
      <w:r w:rsidR="00D27E70" w:rsidRPr="00BD04E9">
        <w:rPr>
          <w:rFonts w:ascii="Arial" w:hAnsi="Arial" w:cs="Arial"/>
          <w:sz w:val="24"/>
          <w:szCs w:val="24"/>
        </w:rPr>
        <w:t>r</w:t>
      </w:r>
      <w:r w:rsidR="00D857CC" w:rsidRPr="00BD04E9">
        <w:rPr>
          <w:rFonts w:ascii="Arial" w:hAnsi="Arial" w:cs="Arial"/>
          <w:sz w:val="24"/>
          <w:szCs w:val="24"/>
        </w:rPr>
        <w:t xml:space="preserve">omoter was </w:t>
      </w:r>
      <w:r w:rsidR="00D71A83" w:rsidRPr="00BD04E9">
        <w:rPr>
          <w:rFonts w:ascii="Arial" w:hAnsi="Arial" w:cs="Arial"/>
          <w:sz w:val="24"/>
          <w:szCs w:val="24"/>
        </w:rPr>
        <w:t>cloned into pCR2.1-TOPO vector (Thermo Fisher</w:t>
      </w:r>
      <w:r w:rsidR="00CC600A" w:rsidRPr="00BD04E9">
        <w:rPr>
          <w:rFonts w:ascii="Arial" w:hAnsi="Arial" w:cs="Arial"/>
          <w:sz w:val="24"/>
          <w:szCs w:val="24"/>
        </w:rPr>
        <w:t>, Waltham, MA</w:t>
      </w:r>
      <w:r w:rsidR="00D71A83" w:rsidRPr="00BD04E9">
        <w:rPr>
          <w:rFonts w:ascii="Arial" w:hAnsi="Arial" w:cs="Arial"/>
          <w:sz w:val="24"/>
          <w:szCs w:val="24"/>
        </w:rPr>
        <w:t>)</w:t>
      </w:r>
      <w:r w:rsidR="00D857CC" w:rsidRPr="00BD04E9">
        <w:rPr>
          <w:rFonts w:ascii="Arial" w:hAnsi="Arial" w:cs="Arial"/>
          <w:sz w:val="24"/>
          <w:szCs w:val="24"/>
        </w:rPr>
        <w:t xml:space="preserve"> and </w:t>
      </w:r>
      <w:r w:rsidR="00D27E70" w:rsidRPr="00BD04E9">
        <w:rPr>
          <w:rFonts w:ascii="Arial" w:hAnsi="Arial" w:cs="Arial"/>
          <w:sz w:val="24"/>
          <w:szCs w:val="24"/>
        </w:rPr>
        <w:t xml:space="preserve">these </w:t>
      </w:r>
      <w:r w:rsidR="00D857CC" w:rsidRPr="00BD04E9">
        <w:rPr>
          <w:rFonts w:ascii="Arial" w:hAnsi="Arial" w:cs="Arial"/>
          <w:sz w:val="24"/>
          <w:szCs w:val="24"/>
        </w:rPr>
        <w:t>subcloned samples were subject</w:t>
      </w:r>
      <w:r w:rsidR="00604031" w:rsidRPr="00BD04E9">
        <w:rPr>
          <w:rFonts w:ascii="Arial" w:hAnsi="Arial" w:cs="Arial"/>
          <w:sz w:val="24"/>
          <w:szCs w:val="24"/>
        </w:rPr>
        <w:t>ed</w:t>
      </w:r>
      <w:r w:rsidR="00D857CC" w:rsidRPr="00BD04E9">
        <w:rPr>
          <w:rFonts w:ascii="Arial" w:hAnsi="Arial" w:cs="Arial"/>
          <w:sz w:val="24"/>
          <w:szCs w:val="24"/>
        </w:rPr>
        <w:t xml:space="preserve"> to PCR using M13 Reverse Primer 5’-CAGGAAACAGCTATGAC-3’ and T7 Promotor Primer 5’- T</w:t>
      </w:r>
      <w:r w:rsidR="00D857CC" w:rsidRPr="00BD04E9">
        <w:rPr>
          <w:rFonts w:ascii="Arial" w:eastAsia="メイリオ" w:hAnsi="Arial" w:cs="Arial"/>
          <w:kern w:val="0"/>
          <w:sz w:val="24"/>
          <w:szCs w:val="24"/>
        </w:rPr>
        <w:t>AATACGACTCACTATAGGG -3</w:t>
      </w:r>
      <w:r w:rsidR="00783C8E" w:rsidRPr="00BD04E9">
        <w:rPr>
          <w:rFonts w:ascii="Arial" w:eastAsia="メイリオ" w:hAnsi="Arial" w:cs="Arial"/>
          <w:kern w:val="0"/>
          <w:sz w:val="24"/>
          <w:szCs w:val="24"/>
        </w:rPr>
        <w:t>’</w:t>
      </w:r>
      <w:r w:rsidR="00D857CC" w:rsidRPr="00BD04E9">
        <w:rPr>
          <w:rFonts w:ascii="Arial" w:eastAsia="メイリオ" w:hAnsi="Arial" w:cs="Arial"/>
          <w:kern w:val="0"/>
          <w:sz w:val="24"/>
          <w:szCs w:val="24"/>
        </w:rPr>
        <w:t>.</w:t>
      </w:r>
      <w:r w:rsidR="00D857CC" w:rsidRPr="00BD04E9">
        <w:rPr>
          <w:rFonts w:ascii="Arial" w:hAnsi="Arial" w:cs="Arial"/>
          <w:sz w:val="24"/>
          <w:szCs w:val="24"/>
        </w:rPr>
        <w:t xml:space="preserve"> </w:t>
      </w:r>
      <w:r w:rsidR="00850968" w:rsidRPr="00BD04E9">
        <w:rPr>
          <w:rFonts w:ascii="Arial" w:hAnsi="Arial" w:cs="Arial"/>
          <w:sz w:val="24"/>
          <w:szCs w:val="24"/>
        </w:rPr>
        <w:t xml:space="preserve">The isolated PCR products were then subjected to Sanger sequencing reaction using the BigDye Terminator version 3.1 Cycle Sequencing Kit (Applied Biosystems, Foster City, CA) and analyzed on an </w:t>
      </w:r>
      <w:r w:rsidR="00850968" w:rsidRPr="00BD04E9">
        <w:rPr>
          <w:rFonts w:ascii="Arial" w:eastAsia="メイリオ" w:hAnsi="Arial" w:cs="Arial"/>
          <w:sz w:val="24"/>
          <w:szCs w:val="24"/>
        </w:rPr>
        <w:t>Applied Biosystems 3500 Genetic Analyzer</w:t>
      </w:r>
      <w:r w:rsidR="00850968" w:rsidRPr="00BD04E9">
        <w:rPr>
          <w:rFonts w:ascii="Arial" w:hAnsi="Arial" w:cs="Arial"/>
          <w:sz w:val="24"/>
          <w:szCs w:val="24"/>
        </w:rPr>
        <w:t xml:space="preserve"> (Applied Biosystems, Foster City, CA). The sequence chromatogram files were examined using Chromas (version 2.6.6; Technelysium, South Brisbane, QLD) and </w:t>
      </w:r>
      <w:r w:rsidR="00850968" w:rsidRPr="00BD04E9">
        <w:rPr>
          <w:rFonts w:ascii="Arial" w:hAnsi="Arial" w:cs="Arial"/>
          <w:sz w:val="24"/>
          <w:szCs w:val="24"/>
          <w:shd w:val="clear" w:color="auto" w:fill="FFFFFF"/>
        </w:rPr>
        <w:t>MEGA X (version 10.1.8</w:t>
      </w:r>
      <w:r w:rsidR="00850968" w:rsidRPr="00BD04E9">
        <w:rPr>
          <w:rFonts w:ascii="Arial" w:hAnsi="Arial" w:cs="Arial"/>
          <w:sz w:val="24"/>
          <w:szCs w:val="24"/>
        </w:rPr>
        <w:t xml:space="preserve">; </w:t>
      </w:r>
      <w:r w:rsidR="00850968" w:rsidRPr="00BD04E9">
        <w:rPr>
          <w:rFonts w:ascii="Arial" w:hAnsi="Arial" w:cs="Arial"/>
          <w:sz w:val="24"/>
          <w:szCs w:val="24"/>
          <w:shd w:val="clear" w:color="auto" w:fill="FFFFFF"/>
        </w:rPr>
        <w:t>The Pennsylvania State University, University Park, PA).</w:t>
      </w:r>
    </w:p>
    <w:p w14:paraId="4A58B02E" w14:textId="34F5A404" w:rsidR="006458A9" w:rsidRDefault="006458A9" w:rsidP="006458A9">
      <w:pPr>
        <w:spacing w:line="480" w:lineRule="auto"/>
        <w:jc w:val="lef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br w:type="page"/>
      </w:r>
    </w:p>
    <w:p w14:paraId="4EA201BF" w14:textId="1006AA74" w:rsidR="006458A9" w:rsidRDefault="006458A9" w:rsidP="004A7823">
      <w:pPr>
        <w:pStyle w:val="1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lastRenderedPageBreak/>
        <w:t>References</w:t>
      </w:r>
    </w:p>
    <w:p w14:paraId="6E0A5CD8" w14:textId="124BB86D" w:rsidR="004A7823" w:rsidRPr="004A7823" w:rsidRDefault="004A7823" w:rsidP="004A7823">
      <w:pPr>
        <w:jc w:val="left"/>
        <w:rPr>
          <w:rFonts w:ascii="Arial" w:hAnsi="Arial" w:cs="Arial"/>
          <w:sz w:val="24"/>
          <w:szCs w:val="24"/>
        </w:rPr>
      </w:pPr>
      <w:r w:rsidRPr="004A7823">
        <w:rPr>
          <w:rFonts w:ascii="Arial" w:eastAsia="ＭＳ Ｐゴシック" w:hAnsi="Arial" w:cs="Arial"/>
          <w:sz w:val="24"/>
          <w:szCs w:val="24"/>
        </w:rPr>
        <w:fldChar w:fldCharType="begin"/>
      </w:r>
      <w:r w:rsidRPr="004A7823">
        <w:rPr>
          <w:rFonts w:ascii="Arial" w:hAnsi="Arial" w:cs="Arial"/>
          <w:sz w:val="24"/>
          <w:szCs w:val="24"/>
        </w:rPr>
        <w:instrText xml:space="preserve"> ADDIN EN.REFLIST </w:instrText>
      </w:r>
      <w:r w:rsidRPr="004A7823">
        <w:rPr>
          <w:rFonts w:ascii="Arial" w:eastAsia="ＭＳ Ｐゴシック" w:hAnsi="Arial" w:cs="Arial"/>
          <w:sz w:val="24"/>
          <w:szCs w:val="24"/>
        </w:rPr>
        <w:fldChar w:fldCharType="separate"/>
      </w:r>
      <w:bookmarkStart w:id="1" w:name="_ENREF_1"/>
      <w:r w:rsidRPr="004A7823">
        <w:rPr>
          <w:rFonts w:ascii="Arial" w:hAnsi="Arial" w:cs="Arial"/>
          <w:noProof/>
          <w:sz w:val="24"/>
          <w:szCs w:val="24"/>
        </w:rPr>
        <w:t>1</w:t>
      </w:r>
      <w:r w:rsidRPr="004A7823">
        <w:rPr>
          <w:rFonts w:ascii="Arial" w:hAnsi="Arial" w:cs="Arial"/>
          <w:noProof/>
          <w:sz w:val="24"/>
          <w:szCs w:val="24"/>
        </w:rPr>
        <w:tab/>
        <w:t>Zajac M, Scott M, Ratcliffe M, Scorer P, Barker C, Al-Masri H</w:t>
      </w:r>
      <w:r w:rsidRPr="004A7823">
        <w:rPr>
          <w:rFonts w:ascii="Arial" w:hAnsi="Arial" w:cs="Arial"/>
          <w:i/>
          <w:noProof/>
          <w:sz w:val="24"/>
          <w:szCs w:val="24"/>
        </w:rPr>
        <w:t>, et al.</w:t>
      </w:r>
      <w:r w:rsidRPr="004A7823">
        <w:rPr>
          <w:rFonts w:ascii="Arial" w:hAnsi="Arial" w:cs="Arial"/>
          <w:noProof/>
          <w:sz w:val="24"/>
          <w:szCs w:val="24"/>
        </w:rPr>
        <w:t xml:space="preserve"> Concordance among four commercially available, validated programmed cell death ligand-1 assays in urothelial carcinoma. Diagn Pathol</w:t>
      </w:r>
      <w:r w:rsidRPr="004A7823">
        <w:rPr>
          <w:rFonts w:ascii="Arial" w:hAnsi="Arial" w:cs="Arial"/>
          <w:i/>
          <w:noProof/>
          <w:sz w:val="24"/>
          <w:szCs w:val="24"/>
        </w:rPr>
        <w:t xml:space="preserve"> </w:t>
      </w:r>
      <w:r w:rsidRPr="004A7823">
        <w:rPr>
          <w:rFonts w:ascii="Arial" w:hAnsi="Arial" w:cs="Arial"/>
          <w:noProof/>
          <w:sz w:val="24"/>
          <w:szCs w:val="24"/>
        </w:rPr>
        <w:t>2019; 14: 99.</w:t>
      </w:r>
      <w:bookmarkEnd w:id="1"/>
    </w:p>
    <w:p w14:paraId="186F727A" w14:textId="77777777" w:rsidR="004A7823" w:rsidRPr="004A7823" w:rsidRDefault="004A7823" w:rsidP="004A7823">
      <w:pPr>
        <w:pStyle w:val="EndNoteBibliography"/>
        <w:rPr>
          <w:rFonts w:ascii="Arial" w:hAnsi="Arial" w:cs="Arial"/>
          <w:sz w:val="24"/>
          <w:szCs w:val="24"/>
        </w:rPr>
      </w:pPr>
      <w:bookmarkStart w:id="2" w:name="_ENREF_2"/>
      <w:r w:rsidRPr="004A7823">
        <w:rPr>
          <w:rFonts w:ascii="Arial" w:hAnsi="Arial" w:cs="Arial"/>
          <w:sz w:val="24"/>
          <w:szCs w:val="24"/>
        </w:rPr>
        <w:t>2</w:t>
      </w:r>
      <w:r w:rsidRPr="004A7823">
        <w:rPr>
          <w:rFonts w:ascii="Arial" w:hAnsi="Arial" w:cs="Arial"/>
          <w:sz w:val="24"/>
          <w:szCs w:val="24"/>
        </w:rPr>
        <w:tab/>
        <w:t>Zajac M, Boothman AM, Ben Y, Gupta A, Jin X, Mistry A</w:t>
      </w:r>
      <w:r w:rsidRPr="004A7823">
        <w:rPr>
          <w:rFonts w:ascii="Arial" w:hAnsi="Arial" w:cs="Arial"/>
          <w:i/>
          <w:sz w:val="24"/>
          <w:szCs w:val="24"/>
        </w:rPr>
        <w:t>, et al.</w:t>
      </w:r>
      <w:r w:rsidRPr="004A7823">
        <w:rPr>
          <w:rFonts w:ascii="Arial" w:hAnsi="Arial" w:cs="Arial"/>
          <w:sz w:val="24"/>
          <w:szCs w:val="24"/>
        </w:rPr>
        <w:t xml:space="preserve"> Analytical Validation and Clinical Utility of an Immunohistochemical Programmed Death Ligand-1 Diagnostic Assay and Combined Tumor and Immune Cell Scoring Algorithm for Durvalumab in Urothelial Carcinoma. Arch Pathol Lab Med</w:t>
      </w:r>
      <w:r w:rsidRPr="004A7823">
        <w:rPr>
          <w:rFonts w:ascii="Arial" w:hAnsi="Arial" w:cs="Arial"/>
          <w:i/>
          <w:sz w:val="24"/>
          <w:szCs w:val="24"/>
        </w:rPr>
        <w:t xml:space="preserve"> </w:t>
      </w:r>
      <w:r w:rsidRPr="004A7823">
        <w:rPr>
          <w:rFonts w:ascii="Arial" w:hAnsi="Arial" w:cs="Arial"/>
          <w:sz w:val="24"/>
          <w:szCs w:val="24"/>
        </w:rPr>
        <w:t>2019; 143: 722-31.</w:t>
      </w:r>
      <w:bookmarkEnd w:id="2"/>
    </w:p>
    <w:p w14:paraId="6726A8A4" w14:textId="77777777" w:rsidR="004A7823" w:rsidRPr="004A7823" w:rsidRDefault="004A7823" w:rsidP="004A7823">
      <w:pPr>
        <w:pStyle w:val="EndNoteBibliography"/>
        <w:rPr>
          <w:rFonts w:ascii="Arial" w:hAnsi="Arial" w:cs="Arial"/>
          <w:sz w:val="24"/>
          <w:szCs w:val="24"/>
        </w:rPr>
      </w:pPr>
      <w:bookmarkStart w:id="3" w:name="_ENREF_3"/>
      <w:r w:rsidRPr="004A7823">
        <w:rPr>
          <w:rFonts w:ascii="Arial" w:hAnsi="Arial" w:cs="Arial"/>
          <w:sz w:val="24"/>
          <w:szCs w:val="24"/>
        </w:rPr>
        <w:t>3</w:t>
      </w:r>
      <w:r w:rsidRPr="004A7823">
        <w:rPr>
          <w:rFonts w:ascii="Arial" w:hAnsi="Arial" w:cs="Arial"/>
          <w:sz w:val="24"/>
          <w:szCs w:val="24"/>
        </w:rPr>
        <w:tab/>
        <w:t>Sun X, Liu X, Xia M, Yang S, Fei L, Zhang M</w:t>
      </w:r>
      <w:r w:rsidRPr="004A7823">
        <w:rPr>
          <w:rFonts w:ascii="Arial" w:hAnsi="Arial" w:cs="Arial"/>
          <w:i/>
          <w:sz w:val="24"/>
          <w:szCs w:val="24"/>
        </w:rPr>
        <w:t>, et al.</w:t>
      </w:r>
      <w:r w:rsidRPr="004A7823">
        <w:rPr>
          <w:rFonts w:ascii="Arial" w:hAnsi="Arial" w:cs="Arial"/>
          <w:sz w:val="24"/>
          <w:szCs w:val="24"/>
        </w:rPr>
        <w:t xml:space="preserve"> The combined application of urinary liquid-based cytology with fluorescence in situ hybridization and p16/Ki-67 dual immunostaining is valuable for improving the early diagnosis of upper tract urothelial carcinomas. Diagn Cytopathol</w:t>
      </w:r>
      <w:r w:rsidRPr="004A7823">
        <w:rPr>
          <w:rFonts w:ascii="Arial" w:hAnsi="Arial" w:cs="Arial"/>
          <w:i/>
          <w:sz w:val="24"/>
          <w:szCs w:val="24"/>
        </w:rPr>
        <w:t xml:space="preserve"> </w:t>
      </w:r>
      <w:r w:rsidRPr="004A7823">
        <w:rPr>
          <w:rFonts w:ascii="Arial" w:hAnsi="Arial" w:cs="Arial"/>
          <w:sz w:val="24"/>
          <w:szCs w:val="24"/>
        </w:rPr>
        <w:t>2017; 45: 895-902.</w:t>
      </w:r>
      <w:bookmarkEnd w:id="3"/>
    </w:p>
    <w:p w14:paraId="4A54C65A" w14:textId="6420E895" w:rsidR="00297A99" w:rsidRPr="00297A99" w:rsidRDefault="004A7823" w:rsidP="00297A99">
      <w:pPr>
        <w:rPr>
          <w:rFonts w:ascii="Arial" w:eastAsia="Arial" w:hAnsi="Arial" w:cs="Arial" w:hint="eastAsia"/>
          <w:sz w:val="24"/>
          <w:szCs w:val="24"/>
        </w:rPr>
      </w:pPr>
      <w:r w:rsidRPr="004A7823">
        <w:rPr>
          <w:rFonts w:ascii="Arial" w:eastAsia="Arial" w:hAnsi="Arial" w:cs="Arial"/>
          <w:sz w:val="24"/>
          <w:szCs w:val="24"/>
        </w:rPr>
        <w:fldChar w:fldCharType="end"/>
      </w:r>
      <w:r w:rsidR="00297A99">
        <w:rPr>
          <w:rFonts w:ascii="Arial" w:eastAsia="Arial" w:hAnsi="Arial" w:cs="Arial"/>
          <w:sz w:val="24"/>
          <w:szCs w:val="24"/>
        </w:rPr>
        <w:br w:type="page"/>
      </w:r>
      <w:r w:rsidR="00297A99" w:rsidRPr="00297A99">
        <w:rPr>
          <w:rFonts w:ascii="Arial" w:eastAsia="ＭＳ Ｐゴシック" w:hAnsi="Arial" w:cs="Arial"/>
          <w:sz w:val="24"/>
          <w:szCs w:val="24"/>
        </w:rPr>
        <w:fldChar w:fldCharType="begin"/>
      </w:r>
      <w:r w:rsidR="00297A99" w:rsidRPr="00297A99">
        <w:rPr>
          <w:rFonts w:ascii="Arial" w:hAnsi="Arial" w:cs="Arial"/>
          <w:sz w:val="24"/>
          <w:szCs w:val="24"/>
        </w:rPr>
        <w:instrText xml:space="preserve"> ADDIN EN.REFLIST </w:instrText>
      </w:r>
      <w:r w:rsidR="00297A99" w:rsidRPr="00297A99">
        <w:rPr>
          <w:rFonts w:ascii="Arial" w:eastAsia="ＭＳ Ｐゴシック" w:hAnsi="Arial" w:cs="Arial"/>
          <w:sz w:val="24"/>
          <w:szCs w:val="24"/>
        </w:rPr>
        <w:fldChar w:fldCharType="separate"/>
      </w:r>
    </w:p>
    <w:p w14:paraId="314A5339" w14:textId="06557772" w:rsidR="00297A99" w:rsidRPr="00297A99" w:rsidRDefault="00297A99" w:rsidP="00297A99">
      <w:pPr>
        <w:pStyle w:val="1"/>
        <w:spacing w:line="480" w:lineRule="auto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lastRenderedPageBreak/>
        <w:t>Supplementary figure legends</w:t>
      </w:r>
    </w:p>
    <w:p w14:paraId="0B677419" w14:textId="77777777" w:rsidR="00297A99" w:rsidRPr="00297A99" w:rsidRDefault="00297A99" w:rsidP="00297A99">
      <w:pPr>
        <w:spacing w:line="480" w:lineRule="auto"/>
        <w:rPr>
          <w:rFonts w:ascii="Arial" w:eastAsia="Arial" w:hAnsi="Arial" w:cs="Arial"/>
          <w:sz w:val="24"/>
          <w:szCs w:val="24"/>
        </w:rPr>
      </w:pPr>
      <w:r w:rsidRPr="00297A99">
        <w:rPr>
          <w:rFonts w:ascii="Arial" w:eastAsia="Arial" w:hAnsi="Arial" w:cs="Arial"/>
          <w:b/>
          <w:bCs/>
          <w:sz w:val="24"/>
          <w:szCs w:val="24"/>
        </w:rPr>
        <w:t>Supplementary Figure 1.</w:t>
      </w:r>
      <w:r w:rsidRPr="00297A99">
        <w:rPr>
          <w:rFonts w:ascii="Arial" w:eastAsia="Arial" w:hAnsi="Arial" w:cs="Arial"/>
          <w:sz w:val="24"/>
          <w:szCs w:val="24"/>
        </w:rPr>
        <w:t xml:space="preserve"> Comparison of the primary tumor and lymph node metastasis before and after pembrolizumab treatment. </w:t>
      </w:r>
      <w:r w:rsidRPr="00297A99">
        <w:rPr>
          <w:rFonts w:ascii="Arial" w:eastAsia="Arial" w:hAnsi="Arial" w:cs="Arial"/>
          <w:b/>
          <w:bCs/>
          <w:sz w:val="24"/>
          <w:szCs w:val="24"/>
        </w:rPr>
        <w:t>(A)</w:t>
      </w:r>
      <w:r w:rsidRPr="00297A99">
        <w:rPr>
          <w:rFonts w:ascii="Arial" w:eastAsia="Arial" w:hAnsi="Arial" w:cs="Arial"/>
          <w:sz w:val="24"/>
          <w:szCs w:val="24"/>
        </w:rPr>
        <w:t xml:space="preserve"> A computed tomography (CT) scan showed the primary tumor in the left lateral wall before pembrolizumab treatment (arrow). </w:t>
      </w:r>
      <w:r w:rsidRPr="00297A99">
        <w:rPr>
          <w:rFonts w:ascii="Arial" w:eastAsia="Arial" w:hAnsi="Arial" w:cs="Arial"/>
          <w:b/>
          <w:bCs/>
          <w:sz w:val="24"/>
          <w:szCs w:val="24"/>
        </w:rPr>
        <w:t>(B)</w:t>
      </w:r>
      <w:r w:rsidRPr="00297A99">
        <w:rPr>
          <w:rFonts w:ascii="Arial" w:eastAsia="Arial" w:hAnsi="Arial" w:cs="Arial"/>
          <w:sz w:val="24"/>
          <w:szCs w:val="24"/>
        </w:rPr>
        <w:t xml:space="preserve"> The primary tumor disappeared after pembrolizumab treatment (arrow). </w:t>
      </w:r>
      <w:r w:rsidRPr="00297A99">
        <w:rPr>
          <w:rFonts w:ascii="Arial" w:eastAsia="Arial" w:hAnsi="Arial" w:cs="Arial"/>
          <w:b/>
          <w:bCs/>
          <w:sz w:val="24"/>
          <w:szCs w:val="24"/>
        </w:rPr>
        <w:t>(C)</w:t>
      </w:r>
      <w:r w:rsidRPr="00297A99">
        <w:rPr>
          <w:rFonts w:ascii="Arial" w:eastAsia="Arial" w:hAnsi="Arial" w:cs="Arial"/>
          <w:sz w:val="24"/>
          <w:szCs w:val="24"/>
        </w:rPr>
        <w:t xml:space="preserve"> The left obturator lymph node metastasis before pembrolizumab treatment (arrow head). </w:t>
      </w:r>
      <w:r w:rsidRPr="00297A99">
        <w:rPr>
          <w:rFonts w:ascii="Arial" w:eastAsia="Arial" w:hAnsi="Arial" w:cs="Arial"/>
          <w:b/>
          <w:bCs/>
          <w:sz w:val="24"/>
          <w:szCs w:val="24"/>
        </w:rPr>
        <w:t>(D)</w:t>
      </w:r>
      <w:r w:rsidRPr="00297A99">
        <w:rPr>
          <w:rFonts w:ascii="Arial" w:eastAsia="Arial" w:hAnsi="Arial" w:cs="Arial"/>
          <w:sz w:val="24"/>
          <w:szCs w:val="24"/>
        </w:rPr>
        <w:t xml:space="preserve"> The metastatic tumor shrunk after pembrolizumab treatment (arrow head).</w:t>
      </w:r>
    </w:p>
    <w:p w14:paraId="1ADD9403" w14:textId="77777777" w:rsidR="00297A99" w:rsidRPr="00297A99" w:rsidRDefault="00297A99" w:rsidP="00297A99">
      <w:pPr>
        <w:spacing w:line="480" w:lineRule="auto"/>
        <w:rPr>
          <w:rFonts w:ascii="Arial" w:hAnsi="Arial" w:cs="Arial"/>
          <w:sz w:val="24"/>
          <w:szCs w:val="24"/>
        </w:rPr>
      </w:pPr>
    </w:p>
    <w:p w14:paraId="41840205" w14:textId="77777777" w:rsidR="00297A99" w:rsidRPr="00297A99" w:rsidRDefault="00297A99" w:rsidP="00297A99">
      <w:pPr>
        <w:spacing w:line="480" w:lineRule="auto"/>
        <w:rPr>
          <w:rFonts w:ascii="Arial" w:eastAsia="Arial" w:hAnsi="Arial" w:cs="Arial"/>
          <w:sz w:val="24"/>
          <w:szCs w:val="24"/>
        </w:rPr>
      </w:pPr>
      <w:r w:rsidRPr="00297A99">
        <w:rPr>
          <w:rFonts w:ascii="Arial" w:eastAsia="Arial" w:hAnsi="Arial" w:cs="Arial"/>
          <w:b/>
          <w:bCs/>
          <w:sz w:val="24"/>
          <w:szCs w:val="24"/>
        </w:rPr>
        <w:t>Supplementary Figure 2.</w:t>
      </w:r>
      <w:r w:rsidRPr="00297A99">
        <w:rPr>
          <w:rFonts w:ascii="Arial" w:eastAsia="Arial" w:hAnsi="Arial" w:cs="Arial"/>
          <w:sz w:val="24"/>
          <w:szCs w:val="24"/>
        </w:rPr>
        <w:t xml:space="preserve"> Sequencing chromatograms of </w:t>
      </w:r>
      <w:r w:rsidRPr="00297A99">
        <w:rPr>
          <w:rFonts w:ascii="Arial" w:eastAsia="Arial" w:hAnsi="Arial" w:cs="Arial"/>
          <w:i/>
          <w:sz w:val="24"/>
          <w:szCs w:val="24"/>
        </w:rPr>
        <w:t>TERT</w:t>
      </w:r>
      <w:r w:rsidRPr="00297A99">
        <w:rPr>
          <w:rFonts w:ascii="Arial" w:eastAsia="Arial" w:hAnsi="Arial" w:cs="Arial"/>
          <w:sz w:val="24"/>
          <w:szCs w:val="24"/>
        </w:rPr>
        <w:t xml:space="preserve"> promoter.</w:t>
      </w:r>
    </w:p>
    <w:p w14:paraId="753AE394" w14:textId="78230A2B" w:rsidR="00D857CC" w:rsidRPr="00297A99" w:rsidRDefault="00297A99" w:rsidP="00297A99">
      <w:pPr>
        <w:spacing w:line="480" w:lineRule="auto"/>
        <w:rPr>
          <w:rFonts w:ascii="Arial" w:hAnsi="Arial" w:cs="Arial" w:hint="eastAsia"/>
          <w:sz w:val="24"/>
          <w:szCs w:val="24"/>
        </w:rPr>
      </w:pPr>
      <w:r w:rsidRPr="00297A99">
        <w:rPr>
          <w:rFonts w:ascii="Arial" w:eastAsia="Arial" w:hAnsi="Arial" w:cs="Arial"/>
          <w:sz w:val="24"/>
          <w:szCs w:val="24"/>
        </w:rPr>
        <w:t xml:space="preserve">TERT promoter region, 228 and 250, are indicated with red square. Upper panel shows both forward and reverse sequencing of wild type; Lower panels show both forward and reverse sequencing of somatic </w:t>
      </w:r>
      <w:r w:rsidRPr="00297A99">
        <w:rPr>
          <w:rFonts w:ascii="Arial" w:eastAsia="Arial" w:hAnsi="Arial" w:cs="Arial"/>
          <w:i/>
          <w:sz w:val="24"/>
          <w:szCs w:val="24"/>
        </w:rPr>
        <w:t>TERT</w:t>
      </w:r>
      <w:r w:rsidRPr="00297A99">
        <w:rPr>
          <w:rFonts w:ascii="Arial" w:eastAsia="Arial" w:hAnsi="Arial" w:cs="Arial"/>
          <w:sz w:val="24"/>
          <w:szCs w:val="24"/>
        </w:rPr>
        <w:t xml:space="preserve"> promoter mutations C228T (Forward: G228A). </w:t>
      </w:r>
      <w:r w:rsidRPr="00297A99">
        <w:rPr>
          <w:rFonts w:ascii="Arial" w:eastAsia="Arial" w:hAnsi="Arial" w:cs="Arial"/>
          <w:b/>
          <w:bCs/>
          <w:sz w:val="24"/>
          <w:szCs w:val="24"/>
        </w:rPr>
        <w:t>(A)</w:t>
      </w:r>
      <w:r w:rsidRPr="00297A99">
        <w:rPr>
          <w:rFonts w:ascii="Arial" w:eastAsia="Arial" w:hAnsi="Arial" w:cs="Arial"/>
          <w:sz w:val="24"/>
          <w:szCs w:val="24"/>
        </w:rPr>
        <w:t xml:space="preserve"> Subcloned polymerase chain rection (PCR) products of </w:t>
      </w:r>
      <w:proofErr w:type="spellStart"/>
      <w:r w:rsidRPr="00297A99">
        <w:rPr>
          <w:rFonts w:ascii="Arial" w:eastAsia="Arial" w:hAnsi="Arial" w:cs="Arial"/>
          <w:sz w:val="24"/>
          <w:szCs w:val="24"/>
        </w:rPr>
        <w:t>sarcomatoid</w:t>
      </w:r>
      <w:proofErr w:type="spellEnd"/>
      <w:r w:rsidRPr="00297A99">
        <w:rPr>
          <w:rFonts w:ascii="Arial" w:eastAsia="Arial" w:hAnsi="Arial" w:cs="Arial"/>
          <w:sz w:val="24"/>
          <w:szCs w:val="24"/>
        </w:rPr>
        <w:t xml:space="preserve"> subtype urothelial carcinoma (UC). Five out of ten (50%) showed C228T. </w:t>
      </w:r>
      <w:r w:rsidRPr="00297A99">
        <w:rPr>
          <w:rFonts w:ascii="Arial" w:eastAsia="Arial" w:hAnsi="Arial" w:cs="Arial"/>
          <w:b/>
          <w:bCs/>
          <w:sz w:val="24"/>
          <w:szCs w:val="24"/>
        </w:rPr>
        <w:t>(B)</w:t>
      </w:r>
      <w:r w:rsidRPr="00297A99">
        <w:rPr>
          <w:rFonts w:ascii="Arial" w:eastAsia="Arial" w:hAnsi="Arial" w:cs="Arial"/>
          <w:sz w:val="24"/>
          <w:szCs w:val="24"/>
        </w:rPr>
        <w:t xml:space="preserve"> Subcloned PCR product of UC with glandular differentiation. Seven out of 22 (32%) showed C228T. The result suggested C228T somatic mutation of both </w:t>
      </w:r>
      <w:proofErr w:type="spellStart"/>
      <w:r w:rsidRPr="00297A99">
        <w:rPr>
          <w:rFonts w:ascii="Arial" w:eastAsia="Arial" w:hAnsi="Arial" w:cs="Arial"/>
          <w:sz w:val="24"/>
          <w:szCs w:val="24"/>
        </w:rPr>
        <w:t>sarcomatoid</w:t>
      </w:r>
      <w:proofErr w:type="spellEnd"/>
      <w:r w:rsidRPr="00297A99">
        <w:rPr>
          <w:rFonts w:ascii="Arial" w:eastAsia="Arial" w:hAnsi="Arial" w:cs="Arial"/>
          <w:sz w:val="24"/>
          <w:szCs w:val="24"/>
        </w:rPr>
        <w:t xml:space="preserve"> subtype and glandular differentiation.</w:t>
      </w:r>
      <w:r w:rsidRPr="00297A99">
        <w:rPr>
          <w:rFonts w:ascii="Arial" w:eastAsia="Arial" w:hAnsi="Arial" w:cs="Arial"/>
          <w:sz w:val="24"/>
          <w:szCs w:val="24"/>
        </w:rPr>
        <w:fldChar w:fldCharType="end"/>
      </w:r>
    </w:p>
    <w:sectPr w:rsidR="00D857CC" w:rsidRPr="00297A99" w:rsidSect="008E69A1">
      <w:footerReference w:type="even" r:id="rId7"/>
      <w:footerReference w:type="default" r:id="rId8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26366" w14:textId="77777777" w:rsidR="0036478F" w:rsidRDefault="0036478F" w:rsidP="002E0625">
      <w:r>
        <w:separator/>
      </w:r>
    </w:p>
  </w:endnote>
  <w:endnote w:type="continuationSeparator" w:id="0">
    <w:p w14:paraId="6D5E7C50" w14:textId="77777777" w:rsidR="0036478F" w:rsidRDefault="0036478F" w:rsidP="002E0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1659504766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6B31283F" w14:textId="12D5DC6A" w:rsidR="00E15D31" w:rsidRDefault="00E15D31" w:rsidP="00252B17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097BBDE8" w14:textId="77777777" w:rsidR="00E15D31" w:rsidRDefault="00E15D31">
    <w:pPr>
      <w:pStyle w:val="a5"/>
      <w:ind w:right="360"/>
      <w:pPrChange w:id="4" w:author="Author" w:date="2022-03-24T20:45:00Z">
        <w:pPr>
          <w:pStyle w:val="a5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399435962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23FFCD73" w14:textId="19D67A60" w:rsidR="00E15D31" w:rsidRPr="00CA22EE" w:rsidRDefault="00E15D31" w:rsidP="00252B17">
        <w:pPr>
          <w:pStyle w:val="a5"/>
          <w:framePr w:wrap="none" w:vAnchor="text" w:hAnchor="margin" w:xAlign="right" w:y="1"/>
          <w:rPr>
            <w:rStyle w:val="a9"/>
          </w:rPr>
        </w:pPr>
        <w:r w:rsidRPr="00CA22EE">
          <w:rPr>
            <w:rStyle w:val="a9"/>
          </w:rPr>
          <w:fldChar w:fldCharType="begin"/>
        </w:r>
        <w:r w:rsidRPr="00CA22EE">
          <w:rPr>
            <w:rStyle w:val="a9"/>
          </w:rPr>
          <w:instrText xml:space="preserve"> PAGE </w:instrText>
        </w:r>
        <w:r w:rsidRPr="00CA22EE">
          <w:rPr>
            <w:rStyle w:val="a9"/>
          </w:rPr>
          <w:fldChar w:fldCharType="separate"/>
        </w:r>
        <w:r w:rsidRPr="00CA22EE">
          <w:rPr>
            <w:rStyle w:val="a9"/>
          </w:rPr>
          <w:t>1</w:t>
        </w:r>
        <w:r w:rsidRPr="00CA22EE">
          <w:rPr>
            <w:rStyle w:val="a9"/>
          </w:rPr>
          <w:fldChar w:fldCharType="end"/>
        </w:r>
      </w:p>
    </w:sdtContent>
  </w:sdt>
  <w:p w14:paraId="4C639960" w14:textId="77777777" w:rsidR="00E15D31" w:rsidRPr="00CA22EE" w:rsidRDefault="00E15D31" w:rsidP="003409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73C70" w14:textId="77777777" w:rsidR="0036478F" w:rsidRDefault="0036478F" w:rsidP="002E0625">
      <w:r>
        <w:separator/>
      </w:r>
    </w:p>
  </w:footnote>
  <w:footnote w:type="continuationSeparator" w:id="0">
    <w:p w14:paraId="56B5474C" w14:textId="77777777" w:rsidR="0036478F" w:rsidRDefault="0036478F" w:rsidP="002E062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4096" w:nlCheck="1" w:checkStyle="1"/>
  <w:activeWritingStyle w:appName="MSWord" w:lang="en-GB" w:vendorID="64" w:dllVersion="409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Diagnostic pathology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zefx5xtl22d23e2fxjvwfr2ssafvd5vvd9d&quot;&gt;pembro2-Converted&lt;record-ids&gt;&lt;item&gt;80&lt;/item&gt;&lt;item&gt;86&lt;/item&gt;&lt;item&gt;137&lt;/item&gt;&lt;/record-ids&gt;&lt;/item&gt;&lt;/Libraries&gt;"/>
  </w:docVars>
  <w:rsids>
    <w:rsidRoot w:val="0090115A"/>
    <w:rsid w:val="0008177A"/>
    <w:rsid w:val="0016392E"/>
    <w:rsid w:val="001C5DB6"/>
    <w:rsid w:val="00204F9A"/>
    <w:rsid w:val="00206E2F"/>
    <w:rsid w:val="00217514"/>
    <w:rsid w:val="00230266"/>
    <w:rsid w:val="00247D27"/>
    <w:rsid w:val="00280A58"/>
    <w:rsid w:val="00297A99"/>
    <w:rsid w:val="002B6F53"/>
    <w:rsid w:val="002E0625"/>
    <w:rsid w:val="002E0A6D"/>
    <w:rsid w:val="002F13CB"/>
    <w:rsid w:val="00337564"/>
    <w:rsid w:val="003409F7"/>
    <w:rsid w:val="0036478F"/>
    <w:rsid w:val="003D1F86"/>
    <w:rsid w:val="003E6580"/>
    <w:rsid w:val="00420333"/>
    <w:rsid w:val="00422D39"/>
    <w:rsid w:val="0048683A"/>
    <w:rsid w:val="004A7823"/>
    <w:rsid w:val="005E0546"/>
    <w:rsid w:val="00604031"/>
    <w:rsid w:val="00625E63"/>
    <w:rsid w:val="006458A9"/>
    <w:rsid w:val="006A4D68"/>
    <w:rsid w:val="006B3DB6"/>
    <w:rsid w:val="00762618"/>
    <w:rsid w:val="00783C8E"/>
    <w:rsid w:val="00822A44"/>
    <w:rsid w:val="00850968"/>
    <w:rsid w:val="008E69A1"/>
    <w:rsid w:val="008F1A5F"/>
    <w:rsid w:val="0090115A"/>
    <w:rsid w:val="00923422"/>
    <w:rsid w:val="00927B6D"/>
    <w:rsid w:val="009770A6"/>
    <w:rsid w:val="00990516"/>
    <w:rsid w:val="00A034F1"/>
    <w:rsid w:val="00A1495C"/>
    <w:rsid w:val="00A56540"/>
    <w:rsid w:val="00A752CB"/>
    <w:rsid w:val="00A97A9E"/>
    <w:rsid w:val="00AA5146"/>
    <w:rsid w:val="00AD3797"/>
    <w:rsid w:val="00AD4C97"/>
    <w:rsid w:val="00AE4E79"/>
    <w:rsid w:val="00B51BE2"/>
    <w:rsid w:val="00B74CFB"/>
    <w:rsid w:val="00BA1B5B"/>
    <w:rsid w:val="00BC16FA"/>
    <w:rsid w:val="00BD04E9"/>
    <w:rsid w:val="00BE283C"/>
    <w:rsid w:val="00C00546"/>
    <w:rsid w:val="00CA22EE"/>
    <w:rsid w:val="00CC600A"/>
    <w:rsid w:val="00D160D9"/>
    <w:rsid w:val="00D27E70"/>
    <w:rsid w:val="00D71A83"/>
    <w:rsid w:val="00D857CC"/>
    <w:rsid w:val="00D97A12"/>
    <w:rsid w:val="00E15D31"/>
    <w:rsid w:val="00E41BE8"/>
    <w:rsid w:val="00E97E2B"/>
    <w:rsid w:val="00F1021A"/>
    <w:rsid w:val="00F856E1"/>
    <w:rsid w:val="00F9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CB06C"/>
  <w15:chartTrackingRefBased/>
  <w15:docId w15:val="{64B96B80-D4C5-4140-86EE-A38F913A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15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13C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qFormat/>
    <w:rsid w:val="00AA5146"/>
    <w:pPr>
      <w:keepNext/>
      <w:spacing w:line="480" w:lineRule="auto"/>
      <w:ind w:left="200"/>
      <w:jc w:val="left"/>
      <w:outlineLvl w:val="1"/>
    </w:pPr>
    <w:rPr>
      <w:rFonts w:ascii="Times New Roman" w:eastAsia="Times New Roman" w:hAnsi="Times New Roman" w:cs="Times New Roman"/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AA5146"/>
    <w:rPr>
      <w:rFonts w:ascii="Times New Roman" w:eastAsia="Times New Roman" w:hAnsi="Times New Roman" w:cs="Times New Roman"/>
      <w:b/>
      <w:sz w:val="24"/>
    </w:rPr>
  </w:style>
  <w:style w:type="character" w:customStyle="1" w:styleId="il">
    <w:name w:val="il"/>
    <w:basedOn w:val="a0"/>
    <w:rsid w:val="00A034F1"/>
  </w:style>
  <w:style w:type="paragraph" w:styleId="a3">
    <w:name w:val="header"/>
    <w:basedOn w:val="a"/>
    <w:link w:val="a4"/>
    <w:uiPriority w:val="99"/>
    <w:unhideWhenUsed/>
    <w:rsid w:val="002E06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0625"/>
  </w:style>
  <w:style w:type="paragraph" w:styleId="a5">
    <w:name w:val="footer"/>
    <w:basedOn w:val="a"/>
    <w:link w:val="a6"/>
    <w:uiPriority w:val="99"/>
    <w:unhideWhenUsed/>
    <w:rsid w:val="002E06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0625"/>
  </w:style>
  <w:style w:type="paragraph" w:styleId="a7">
    <w:name w:val="Revision"/>
    <w:hidden/>
    <w:uiPriority w:val="99"/>
    <w:semiHidden/>
    <w:rsid w:val="00D71A83"/>
  </w:style>
  <w:style w:type="character" w:customStyle="1" w:styleId="10">
    <w:name w:val="見出し 1 (文字)"/>
    <w:basedOn w:val="a0"/>
    <w:link w:val="1"/>
    <w:uiPriority w:val="9"/>
    <w:rsid w:val="002F13CB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line number"/>
    <w:basedOn w:val="a0"/>
    <w:uiPriority w:val="99"/>
    <w:semiHidden/>
    <w:unhideWhenUsed/>
    <w:rsid w:val="00E15D31"/>
  </w:style>
  <w:style w:type="character" w:styleId="a9">
    <w:name w:val="page number"/>
    <w:basedOn w:val="a0"/>
    <w:uiPriority w:val="99"/>
    <w:semiHidden/>
    <w:unhideWhenUsed/>
    <w:rsid w:val="00E15D31"/>
  </w:style>
  <w:style w:type="character" w:styleId="aa">
    <w:name w:val="Hyperlink"/>
    <w:basedOn w:val="a0"/>
    <w:uiPriority w:val="99"/>
    <w:unhideWhenUsed/>
    <w:rsid w:val="006458A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458A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4A7823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4A7823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A7823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4A7823"/>
    <w:rPr>
      <w:rFonts w:ascii="游明朝" w:eastAsia="游明朝" w:hAnsi="游明朝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7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B4DE0-7EA9-4515-8DDF-05A38203F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美山 優</dc:creator>
  <cp:keywords/>
  <dc:description/>
  <cp:lastModifiedBy>美山 優</cp:lastModifiedBy>
  <cp:revision>3</cp:revision>
  <dcterms:created xsi:type="dcterms:W3CDTF">2022-06-01T07:28:00Z</dcterms:created>
  <dcterms:modified xsi:type="dcterms:W3CDTF">2022-06-01T07:31:00Z</dcterms:modified>
</cp:coreProperties>
</file>