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305094" w14:textId="1369A15D" w:rsidR="0021278C" w:rsidRDefault="0021278C">
      <w:pPr>
        <w:rPr>
          <w:rFonts w:ascii="Times New Roman" w:eastAsia="Times New Roman" w:hAnsi="Times New Roman" w:cs="Times New Roman"/>
        </w:rPr>
      </w:pPr>
    </w:p>
    <w:p w14:paraId="69F1AEAE" w14:textId="2C6AFC06" w:rsidR="0021278C" w:rsidRDefault="000B3583" w:rsidP="0021278C">
      <w:pPr>
        <w:spacing w:line="480" w:lineRule="auto"/>
        <w:rPr>
          <w:rFonts w:ascii="Times New Roman" w:eastAsia="Times New Roman" w:hAnsi="Times New Roman" w:cs="Times New Roman"/>
        </w:rPr>
      </w:pPr>
      <w:r w:rsidRPr="000B3583">
        <w:rPr>
          <w:rFonts w:ascii="Times New Roman" w:eastAsia="Times New Roman" w:hAnsi="Times New Roman" w:cs="Times New Roman"/>
          <w:noProof/>
          <w:lang w:eastAsia="en-US"/>
        </w:rPr>
        <w:drawing>
          <wp:inline distT="0" distB="0" distL="0" distR="0" wp14:anchorId="1F533252" wp14:editId="508AD24A">
            <wp:extent cx="5943600" cy="6029325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2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E17C7" w14:textId="1025D2EE" w:rsidR="0021278C" w:rsidRPr="0021278C" w:rsidRDefault="0021278C" w:rsidP="0021278C">
      <w:pPr>
        <w:spacing w:line="480" w:lineRule="auto"/>
        <w:rPr>
          <w:rFonts w:ascii="Times New Roman" w:eastAsia="Times New Roman" w:hAnsi="Times New Roman" w:cs="Times New Roman"/>
        </w:r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Figure S1. Taxonomic overview of patient stool samples at the genus level.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Genus composition of RBX2660 products was added to the corresponding recipient.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a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Patients who received 2 doses of placebo.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b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Patients who received 1 dose RBX2660 and 1 dose of placebo.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c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Patients who received 2 doses of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RBX2660.</w:t>
      </w:r>
      <w:r w:rsidR="00547F08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="00A334AE" w:rsidRPr="00A334AE">
        <w:rPr>
          <w:rFonts w:ascii="Times" w:eastAsia="Times New Roman" w:hAnsi="Times" w:cs="Times New Roman"/>
          <w:color w:val="000000"/>
          <w:sz w:val="22"/>
          <w:szCs w:val="22"/>
        </w:rPr>
        <w:t xml:space="preserve">Patients R0-01, R0-20, and R2-09, who had only the baseline specimen (due to early </w:t>
      </w:r>
      <w:proofErr w:type="spellStart"/>
      <w:r w:rsidR="00A334AE" w:rsidRPr="00A334AE">
        <w:rPr>
          <w:rFonts w:ascii="Times" w:eastAsia="Times New Roman" w:hAnsi="Times" w:cs="Times New Roman"/>
          <w:color w:val="000000"/>
          <w:sz w:val="22"/>
          <w:szCs w:val="22"/>
        </w:rPr>
        <w:t>rCDI</w:t>
      </w:r>
      <w:proofErr w:type="spellEnd"/>
      <w:r w:rsidR="00A334AE" w:rsidRPr="00A334AE">
        <w:rPr>
          <w:rFonts w:ascii="Times" w:eastAsia="Times New Roman" w:hAnsi="Times" w:cs="Times New Roman"/>
          <w:color w:val="000000"/>
          <w:sz w:val="22"/>
          <w:szCs w:val="22"/>
        </w:rPr>
        <w:t xml:space="preserve">) that </w:t>
      </w:r>
      <w:r w:rsidR="00A334AE">
        <w:rPr>
          <w:rFonts w:ascii="Times" w:eastAsia="Times New Roman" w:hAnsi="Times" w:cs="Times New Roman"/>
          <w:color w:val="000000"/>
          <w:sz w:val="22"/>
          <w:szCs w:val="22"/>
        </w:rPr>
        <w:t>exhibited</w:t>
      </w:r>
      <w:r w:rsidR="00A334AE" w:rsidRPr="00A334AE">
        <w:rPr>
          <w:rFonts w:ascii="Times" w:eastAsia="Times New Roman" w:hAnsi="Times" w:cs="Times New Roman"/>
          <w:color w:val="000000"/>
          <w:sz w:val="22"/>
          <w:szCs w:val="22"/>
        </w:rPr>
        <w:t xml:space="preserve"> insufficient sequencing depth for the </w:t>
      </w:r>
      <w:r w:rsidR="00A334AE">
        <w:rPr>
          <w:rFonts w:ascii="Times" w:eastAsia="Times New Roman" w:hAnsi="Times" w:cs="Times New Roman"/>
          <w:color w:val="000000"/>
          <w:sz w:val="22"/>
          <w:szCs w:val="22"/>
        </w:rPr>
        <w:t xml:space="preserve">analysis of </w:t>
      </w:r>
      <w:r w:rsidR="00A334AE" w:rsidRPr="00A334AE">
        <w:rPr>
          <w:rFonts w:ascii="Times" w:eastAsia="Times New Roman" w:hAnsi="Times" w:cs="Times New Roman"/>
          <w:color w:val="000000"/>
          <w:sz w:val="22"/>
          <w:szCs w:val="22"/>
        </w:rPr>
        <w:t>taxonomic structure</w:t>
      </w:r>
      <w:r w:rsidR="00A334AE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="00A334AE" w:rsidRPr="00A334AE">
        <w:rPr>
          <w:rFonts w:ascii="Times" w:eastAsia="Times New Roman" w:hAnsi="Times" w:cs="Times New Roman"/>
          <w:color w:val="000000"/>
          <w:sz w:val="22"/>
          <w:szCs w:val="22"/>
        </w:rPr>
        <w:t xml:space="preserve">after decontamination </w:t>
      </w:r>
      <w:r w:rsidR="00A334AE" w:rsidRPr="00A334AE">
        <w:rPr>
          <w:rFonts w:ascii="Times" w:eastAsia="Times New Roman" w:hAnsi="Times" w:cs="Times New Roman"/>
          <w:color w:val="000000"/>
          <w:sz w:val="22"/>
          <w:szCs w:val="22"/>
        </w:rPr>
        <w:lastRenderedPageBreak/>
        <w:t>of human reads, were omitted.</w:t>
      </w:r>
      <w:r w:rsidR="00FB1DB8">
        <w:rPr>
          <w:rFonts w:ascii="Times" w:eastAsia="Times New Roman" w:hAnsi="Times" w:cs="Times New Roman"/>
          <w:color w:val="000000"/>
          <w:sz w:val="22"/>
          <w:szCs w:val="22"/>
        </w:rPr>
        <w:t xml:space="preserve"> Patient R2-17 was also omitted from this analysis due to incomplete donor RBX2660 information.</w:t>
      </w:r>
    </w:p>
    <w:p w14:paraId="3A430256" w14:textId="77777777" w:rsidR="0021278C" w:rsidRPr="0021278C" w:rsidRDefault="0021278C" w:rsidP="0021278C">
      <w:pPr>
        <w:rPr>
          <w:rFonts w:ascii="Times New Roman" w:eastAsia="Times New Roman" w:hAnsi="Times New Roman" w:cs="Times New Roman"/>
        </w:rPr>
      </w:pPr>
    </w:p>
    <w:p w14:paraId="265A56CE" w14:textId="77777777" w:rsidR="0021278C" w:rsidRDefault="0021278C">
      <w:pP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</w:pPr>
      <w: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br w:type="page"/>
      </w:r>
    </w:p>
    <w:p w14:paraId="6F5121B1" w14:textId="155884C9" w:rsidR="0021278C" w:rsidRDefault="00B86804" w:rsidP="0021278C">
      <w:pPr>
        <w:spacing w:line="480" w:lineRule="auto"/>
        <w:rPr>
          <w:rFonts w:ascii="Times" w:eastAsia="Times New Roman" w:hAnsi="Times" w:cs="Times New Roman"/>
          <w:b/>
          <w:bCs/>
          <w:color w:val="000000"/>
          <w:sz w:val="22"/>
          <w:szCs w:val="22"/>
        </w:rPr>
      </w:pPr>
      <w:r w:rsidRPr="00B86804">
        <w:rPr>
          <w:noProof/>
        </w:rPr>
        <w:lastRenderedPageBreak/>
        <w:t xml:space="preserve"> </w:t>
      </w:r>
      <w:r w:rsidRPr="00B86804">
        <w:rPr>
          <w:rFonts w:ascii="Times" w:eastAsia="Times New Roman" w:hAnsi="Times" w:cs="Times New Roman"/>
          <w:b/>
          <w:bCs/>
          <w:noProof/>
          <w:color w:val="000000"/>
          <w:sz w:val="22"/>
          <w:szCs w:val="22"/>
        </w:rPr>
        <w:drawing>
          <wp:inline distT="0" distB="0" distL="0" distR="0" wp14:anchorId="3B6031AE" wp14:editId="745EA25F">
            <wp:extent cx="5778500" cy="44069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785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CC790" w14:textId="4F091D50" w:rsidR="0021278C" w:rsidRPr="0021278C" w:rsidRDefault="0021278C" w:rsidP="0021278C">
      <w:pPr>
        <w:spacing w:line="480" w:lineRule="auto"/>
        <w:rPr>
          <w:rFonts w:ascii="Times New Roman" w:eastAsia="Times New Roman" w:hAnsi="Times New Roman" w:cs="Times New Roman"/>
        </w:r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Figure S2. Taxonomic shift by treatments (related Fig. 2). a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Distribution of inter-subjects Bray-Curtis </w:t>
      </w:r>
      <w:r w:rsidR="0061390C">
        <w:rPr>
          <w:rFonts w:ascii="Times" w:eastAsia="Times New Roman" w:hAnsi="Times" w:cs="Times New Roman"/>
          <w:color w:val="000000"/>
          <w:sz w:val="22"/>
          <w:szCs w:val="22"/>
        </w:rPr>
        <w:t>dissimilarities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(yellow) and intra-subject </w:t>
      </w:r>
      <w:r w:rsidR="0061390C">
        <w:rPr>
          <w:rFonts w:ascii="Times" w:eastAsia="Times New Roman" w:hAnsi="Times" w:cs="Times New Roman"/>
          <w:color w:val="000000"/>
          <w:sz w:val="22"/>
          <w:szCs w:val="22"/>
        </w:rPr>
        <w:t>dissimilarities</w:t>
      </w:r>
      <w:r w:rsidR="0061390C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(green) regarding taxonomic structures by treatment groups (column) and by time frames (rows). The similar distribution of inter-subjects and intra-subject </w:t>
      </w:r>
      <w:r w:rsidR="0061390C">
        <w:rPr>
          <w:rFonts w:ascii="Times" w:eastAsia="Times New Roman" w:hAnsi="Times" w:cs="Times New Roman"/>
          <w:color w:val="000000"/>
          <w:sz w:val="22"/>
          <w:szCs w:val="22"/>
        </w:rPr>
        <w:t>dissimilarities</w:t>
      </w:r>
      <w:r w:rsidR="0061390C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during the first week in all conditions suggests significant taxonomic shifts in </w:t>
      </w:r>
      <w:r w:rsidR="00F25610" w:rsidRPr="0021278C">
        <w:rPr>
          <w:rFonts w:ascii="Times" w:eastAsia="Times New Roman" w:hAnsi="Times" w:cs="Times New Roman"/>
          <w:color w:val="000000"/>
          <w:sz w:val="22"/>
          <w:szCs w:val="22"/>
        </w:rPr>
        <w:t>early stage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regardless of the dose of RBX2660. Changes in the Bray-Curtis </w:t>
      </w:r>
      <w:r w:rsidR="0061390C">
        <w:rPr>
          <w:rFonts w:ascii="Times" w:eastAsia="Times New Roman" w:hAnsi="Times" w:cs="Times New Roman"/>
          <w:color w:val="000000"/>
          <w:sz w:val="22"/>
          <w:szCs w:val="22"/>
        </w:rPr>
        <w:t>dissimilarities</w:t>
      </w:r>
      <w:r w:rsidR="0061390C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between a patient and corresponding donor after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b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single RBX2660 and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c-d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double RBX2660 treatments. Changes in taxonomic structures of gut microbiota were significant for the first week after treatments (</w:t>
      </w:r>
      <w:r w:rsidRPr="0021278C">
        <w:rPr>
          <w:rFonts w:ascii="Times New Roman" w:eastAsia="Times New Roman" w:hAnsi="Times New Roman" w:cs="Times New Roman"/>
          <w:color w:val="000000"/>
          <w:sz w:val="22"/>
          <w:szCs w:val="22"/>
        </w:rPr>
        <w:t>Kruskal-Wallis test, ***P &lt; 0.001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). </w:t>
      </w:r>
      <w:r w:rsidR="0061390C">
        <w:rPr>
          <w:rFonts w:ascii="Times" w:eastAsia="Times New Roman" w:hAnsi="Times" w:cs="Times New Roman"/>
          <w:color w:val="000000"/>
          <w:sz w:val="22"/>
          <w:szCs w:val="22"/>
        </w:rPr>
        <w:t>There w</w:t>
      </w:r>
      <w:r w:rsidR="00633A63">
        <w:rPr>
          <w:rFonts w:ascii="Times" w:eastAsia="Times New Roman" w:hAnsi="Times" w:cs="Times New Roman"/>
          <w:color w:val="000000"/>
          <w:sz w:val="22"/>
          <w:szCs w:val="22"/>
        </w:rPr>
        <w:t>ere</w:t>
      </w:r>
      <w:r w:rsidR="0061390C">
        <w:rPr>
          <w:rFonts w:ascii="Times" w:eastAsia="Times New Roman" w:hAnsi="Times" w:cs="Times New Roman"/>
          <w:color w:val="000000"/>
          <w:sz w:val="22"/>
          <w:szCs w:val="22"/>
        </w:rPr>
        <w:t xml:space="preserve"> no statistically significant differences between p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atients who </w:t>
      </w:r>
      <w:r w:rsidR="0061390C">
        <w:rPr>
          <w:rFonts w:ascii="Times" w:eastAsia="Times New Roman" w:hAnsi="Times" w:cs="Times New Roman"/>
          <w:color w:val="000000"/>
          <w:sz w:val="22"/>
          <w:szCs w:val="22"/>
        </w:rPr>
        <w:t xml:space="preserve">experienced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recurrent </w:t>
      </w:r>
      <w:r w:rsidRPr="0021278C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 xml:space="preserve">Clostridioides difficile </w:t>
      </w:r>
      <w:r w:rsidRPr="0021278C">
        <w:rPr>
          <w:rFonts w:ascii="Times New Roman" w:eastAsia="Times New Roman" w:hAnsi="Times New Roman" w:cs="Times New Roman"/>
          <w:color w:val="000000"/>
          <w:sz w:val="22"/>
          <w:szCs w:val="22"/>
        </w:rPr>
        <w:t>infection (</w:t>
      </w:r>
      <w:r w:rsidR="0061390C">
        <w:rPr>
          <w:rFonts w:ascii="Times New Roman" w:eastAsia="Times New Roman" w:hAnsi="Times New Roman" w:cs="Times New Roman"/>
          <w:color w:val="000000"/>
          <w:sz w:val="22"/>
          <w:szCs w:val="22"/>
        </w:rPr>
        <w:t>white</w:t>
      </w:r>
      <w:r w:rsidRPr="0021278C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) </w:t>
      </w:r>
      <w:r w:rsidR="0061390C">
        <w:rPr>
          <w:rFonts w:ascii="Times New Roman" w:eastAsia="Times New Roman" w:hAnsi="Times New Roman" w:cs="Times New Roman"/>
          <w:color w:val="000000"/>
          <w:sz w:val="22"/>
          <w:szCs w:val="22"/>
        </w:rPr>
        <w:t>and other successful patients (</w:t>
      </w:r>
      <w:r w:rsidR="00257AED">
        <w:rPr>
          <w:rFonts w:ascii="Times New Roman" w:eastAsia="Times New Roman" w:hAnsi="Times New Roman" w:cs="Times New Roman"/>
          <w:color w:val="000000"/>
          <w:sz w:val="22"/>
          <w:szCs w:val="22"/>
        </w:rPr>
        <w:t>gray</w:t>
      </w:r>
      <w:r w:rsidR="0061390C">
        <w:rPr>
          <w:rFonts w:ascii="Times New Roman" w:eastAsia="Times New Roman" w:hAnsi="Times New Roman" w:cs="Times New Roman"/>
          <w:color w:val="000000"/>
          <w:sz w:val="22"/>
          <w:szCs w:val="22"/>
        </w:rPr>
        <w:t>)</w:t>
      </w:r>
      <w:r w:rsidR="00E97F4D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at all time points (</w:t>
      </w:r>
      <w:r w:rsidR="00E97F4D" w:rsidRPr="00E97F4D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Wilcoxon signed-rank test with </w:t>
      </w:r>
      <w:proofErr w:type="spellStart"/>
      <w:r w:rsidR="00E97F4D" w:rsidRPr="00E97F4D">
        <w:rPr>
          <w:rFonts w:ascii="Times New Roman" w:eastAsia="Times New Roman" w:hAnsi="Times New Roman" w:cs="Times New Roman"/>
          <w:color w:val="000000"/>
          <w:sz w:val="22"/>
          <w:szCs w:val="22"/>
        </w:rPr>
        <w:t>Benjamini</w:t>
      </w:r>
      <w:proofErr w:type="spellEnd"/>
      <w:r w:rsidR="00E97F4D" w:rsidRPr="00E97F4D">
        <w:rPr>
          <w:rFonts w:ascii="Times New Roman" w:eastAsia="Times New Roman" w:hAnsi="Times New Roman" w:cs="Times New Roman"/>
          <w:color w:val="000000"/>
          <w:sz w:val="22"/>
          <w:szCs w:val="22"/>
        </w:rPr>
        <w:t>-Hochberg FDR correction, FDR &lt; 0.05</w:t>
      </w:r>
      <w:r w:rsidR="00E97F4D">
        <w:rPr>
          <w:rFonts w:ascii="Times New Roman" w:eastAsia="Times New Roman" w:hAnsi="Times New Roman" w:cs="Times New Roman"/>
          <w:color w:val="000000"/>
          <w:sz w:val="22"/>
          <w:szCs w:val="22"/>
        </w:rPr>
        <w:t>)</w:t>
      </w:r>
      <w:r w:rsidRPr="0021278C">
        <w:rPr>
          <w:rFonts w:ascii="Times New Roman" w:eastAsia="Times New Roman" w:hAnsi="Times New Roman" w:cs="Times New Roman"/>
          <w:color w:val="000000"/>
          <w:sz w:val="22"/>
          <w:szCs w:val="22"/>
        </w:rPr>
        <w:t>.</w:t>
      </w:r>
      <w:r w:rsidR="00B65CBB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D1, the first dose; D2, the second dose.</w:t>
      </w:r>
    </w:p>
    <w:p w14:paraId="01BC0B73" w14:textId="00CDCBD9" w:rsidR="0021278C" w:rsidRDefault="0021278C" w:rsidP="003960E6">
      <w:pP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</w:pPr>
      <w: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br w:type="page"/>
      </w:r>
      <w:r w:rsidR="00765623" w:rsidRPr="00765623">
        <w:rPr>
          <w:noProof/>
        </w:rPr>
        <w:lastRenderedPageBreak/>
        <w:t xml:space="preserve"> </w:t>
      </w:r>
      <w:r w:rsidR="000D01C0" w:rsidRPr="000D01C0">
        <w:rPr>
          <w:noProof/>
        </w:rPr>
        <w:t xml:space="preserve"> </w:t>
      </w:r>
      <w:r w:rsidR="000D01C0" w:rsidRPr="000D01C0">
        <w:rPr>
          <w:noProof/>
          <w:lang w:eastAsia="en-US"/>
        </w:rPr>
        <w:drawing>
          <wp:inline distT="0" distB="0" distL="0" distR="0" wp14:anchorId="5214A2D1" wp14:editId="10A54EB0">
            <wp:extent cx="5943600" cy="505904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5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5F7D8" w14:textId="742E4971" w:rsidR="0021278C" w:rsidRPr="0021278C" w:rsidRDefault="0021278C" w:rsidP="0021278C">
      <w:pPr>
        <w:spacing w:line="480" w:lineRule="auto"/>
        <w:rPr>
          <w:rFonts w:ascii="Times New Roman" w:eastAsia="Times New Roman" w:hAnsi="Times New Roman" w:cs="Times New Roman"/>
        </w:r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Figure S3. Additional discriminative features of the obstinate patients (related Fig. 3). a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Metabolic pathway features of the </w:t>
      </w:r>
      <w:r w:rsidR="00765623">
        <w:rPr>
          <w:rFonts w:ascii="Times" w:eastAsia="Times New Roman" w:hAnsi="Times" w:cs="Times New Roman"/>
          <w:color w:val="000000"/>
          <w:sz w:val="22"/>
          <w:szCs w:val="22"/>
        </w:rPr>
        <w:t>double RBX2660 recipients</w:t>
      </w:r>
      <w:r w:rsidR="001C4811">
        <w:rPr>
          <w:rFonts w:ascii="Times" w:eastAsia="Times New Roman" w:hAnsi="Times" w:cs="Times New Roman"/>
          <w:color w:val="000000"/>
          <w:sz w:val="22"/>
          <w:szCs w:val="22"/>
        </w:rPr>
        <w:t xml:space="preserve"> whose taxonomic structures were engrafted and maintained until day 60 (green) and other non-engrafted patients (</w:t>
      </w:r>
      <w:r w:rsidR="00A105A0" w:rsidRPr="00A105A0">
        <w:rPr>
          <w:rFonts w:ascii="Times" w:eastAsia="Times New Roman" w:hAnsi="Times" w:cs="Times New Roman"/>
          <w:color w:val="000000"/>
          <w:sz w:val="22"/>
          <w:szCs w:val="22"/>
        </w:rPr>
        <w:t>plum</w:t>
      </w:r>
      <w:r w:rsidR="00A105A0">
        <w:rPr>
          <w:rFonts w:ascii="Times" w:eastAsia="Times New Roman" w:hAnsi="Times" w:cs="Times New Roman"/>
          <w:color w:val="000000"/>
          <w:sz w:val="22"/>
          <w:szCs w:val="22"/>
        </w:rPr>
        <w:t>)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. Yeast-specific metabolic pathways were marked in </w:t>
      </w:r>
      <w:r w:rsidR="00765623">
        <w:rPr>
          <w:rFonts w:ascii="Times" w:eastAsia="Times New Roman" w:hAnsi="Times" w:cs="Times New Roman"/>
          <w:color w:val="000000"/>
          <w:sz w:val="22"/>
          <w:szCs w:val="22"/>
        </w:rPr>
        <w:t>red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. </w:t>
      </w:r>
      <w:r w:rsidR="00765623" w:rsidRPr="00765623">
        <w:rPr>
          <w:rFonts w:ascii="Times" w:eastAsia="Times New Roman" w:hAnsi="Times" w:cs="Times New Roman"/>
          <w:color w:val="000000"/>
          <w:sz w:val="22"/>
          <w:szCs w:val="22"/>
        </w:rPr>
        <w:t>GLCMANNANAUT-PWY</w:t>
      </w:r>
      <w:r w:rsid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, </w:t>
      </w:r>
      <w:proofErr w:type="spellStart"/>
      <w:r w:rsidR="00765623" w:rsidRPr="00765623">
        <w:rPr>
          <w:rFonts w:ascii="Times" w:eastAsia="Times New Roman" w:hAnsi="Times" w:cs="Times New Roman"/>
          <w:color w:val="000000"/>
          <w:sz w:val="22"/>
          <w:szCs w:val="22"/>
        </w:rPr>
        <w:t>superpathway</w:t>
      </w:r>
      <w:proofErr w:type="spellEnd"/>
      <w:r w:rsidR="00765623" w:rsidRP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of N-acetylglucosamine, N-</w:t>
      </w:r>
      <w:proofErr w:type="spellStart"/>
      <w:r w:rsidR="00765623" w:rsidRPr="00765623">
        <w:rPr>
          <w:rFonts w:ascii="Times" w:eastAsia="Times New Roman" w:hAnsi="Times" w:cs="Times New Roman"/>
          <w:color w:val="000000"/>
          <w:sz w:val="22"/>
          <w:szCs w:val="22"/>
        </w:rPr>
        <w:t>acetylmannosamine</w:t>
      </w:r>
      <w:proofErr w:type="spellEnd"/>
      <w:r w:rsidR="00765623" w:rsidRP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and N-acetylneuraminate degradation</w:t>
      </w:r>
      <w:r w:rsid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; </w:t>
      </w:r>
      <w:r w:rsidR="00765623" w:rsidRPr="00765623">
        <w:rPr>
          <w:rFonts w:ascii="Times" w:eastAsia="Times New Roman" w:hAnsi="Times" w:cs="Times New Roman"/>
          <w:color w:val="000000"/>
          <w:sz w:val="22"/>
          <w:szCs w:val="22"/>
        </w:rPr>
        <w:t>GALACT-GLUCUROCAT-PWY</w:t>
      </w:r>
      <w:r w:rsidR="00765623">
        <w:rPr>
          <w:rFonts w:ascii="Times" w:eastAsia="Times New Roman" w:hAnsi="Times" w:cs="Times New Roman"/>
          <w:color w:val="000000"/>
          <w:sz w:val="22"/>
          <w:szCs w:val="22"/>
        </w:rPr>
        <w:t>,</w:t>
      </w:r>
      <w:r w:rsidR="00765623" w:rsidRP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proofErr w:type="spellStart"/>
      <w:r w:rsidR="00765623" w:rsidRPr="00765623">
        <w:rPr>
          <w:rFonts w:ascii="Times" w:eastAsia="Times New Roman" w:hAnsi="Times" w:cs="Times New Roman"/>
          <w:color w:val="000000"/>
          <w:sz w:val="22"/>
          <w:szCs w:val="22"/>
        </w:rPr>
        <w:t>superpathway</w:t>
      </w:r>
      <w:proofErr w:type="spellEnd"/>
      <w:r w:rsidR="00765623" w:rsidRP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of </w:t>
      </w:r>
      <w:proofErr w:type="spellStart"/>
      <w:r w:rsidR="00765623" w:rsidRPr="00765623">
        <w:rPr>
          <w:rFonts w:ascii="Times" w:eastAsia="Times New Roman" w:hAnsi="Times" w:cs="Times New Roman"/>
          <w:color w:val="000000"/>
          <w:sz w:val="22"/>
          <w:szCs w:val="22"/>
        </w:rPr>
        <w:t>hexuronide</w:t>
      </w:r>
      <w:proofErr w:type="spellEnd"/>
      <w:r w:rsidR="00765623" w:rsidRP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and </w:t>
      </w:r>
      <w:proofErr w:type="spellStart"/>
      <w:r w:rsidR="00765623" w:rsidRPr="00765623">
        <w:rPr>
          <w:rFonts w:ascii="Times" w:eastAsia="Times New Roman" w:hAnsi="Times" w:cs="Times New Roman"/>
          <w:color w:val="000000"/>
          <w:sz w:val="22"/>
          <w:szCs w:val="22"/>
        </w:rPr>
        <w:t>hexuronate</w:t>
      </w:r>
      <w:proofErr w:type="spellEnd"/>
      <w:r w:rsidR="00765623" w:rsidRP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degradation</w:t>
      </w:r>
      <w:r w:rsidR="00765623">
        <w:rPr>
          <w:rFonts w:ascii="Times" w:eastAsia="Times New Roman" w:hAnsi="Times" w:cs="Times New Roman"/>
          <w:color w:val="000000"/>
          <w:sz w:val="22"/>
          <w:szCs w:val="22"/>
        </w:rPr>
        <w:t>.</w:t>
      </w:r>
      <w:r w:rsidR="00765623" w:rsidRP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="00A105A0" w:rsidRPr="003960E6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b</w:t>
      </w:r>
      <w:r w:rsidR="00A105A0">
        <w:rPr>
          <w:rFonts w:ascii="Times" w:eastAsia="Times New Roman" w:hAnsi="Times" w:cs="Times New Roman"/>
          <w:color w:val="000000"/>
          <w:sz w:val="22"/>
          <w:szCs w:val="22"/>
        </w:rPr>
        <w:t xml:space="preserve"> Comparison of engraftment indices of double RBX2660 recipients for the first and the second RBX2660 at day 7 and day 60. R2-21 exhibited lower engraftment index for the first dose but higher engraftment index for the second dose of RBX2660 than placebo patients at day 60 (white square).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At baseline, </w:t>
      </w:r>
      <w:r w:rsidR="00A105A0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c</w:t>
      </w:r>
      <w:r w:rsidR="00A105A0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Shannon index (</w:t>
      </w:r>
      <w:r w:rsidRPr="0021278C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Wilcoxon signed-rank test, P = </w:t>
      </w:r>
      <w:r w:rsidRPr="0021278C">
        <w:rPr>
          <w:rFonts w:ascii="Times New Roman" w:eastAsia="Times New Roman" w:hAnsi="Times New Roman" w:cs="Times New Roman"/>
          <w:color w:val="000000"/>
          <w:sz w:val="22"/>
          <w:szCs w:val="22"/>
        </w:rPr>
        <w:lastRenderedPageBreak/>
        <w:t xml:space="preserve">0.41), </w:t>
      </w:r>
      <w:r w:rsidR="00A105A0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d</w:t>
      </w:r>
      <w:r w:rsidR="00A105A0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Proteobacteria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(P = 0.79), </w:t>
      </w:r>
      <w:r w:rsidR="00A105A0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e</w:t>
      </w:r>
      <w:r w:rsidR="00A105A0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>Bacteroidetes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(P = 0.92), </w:t>
      </w:r>
      <w:r w:rsidR="00A105A0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f</w:t>
      </w:r>
      <w:r w:rsidR="00A105A0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>Firmicutes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(P = 0.32),</w:t>
      </w:r>
      <w:r w:rsid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and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="00A105A0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g</w:t>
      </w:r>
      <w:r w:rsidR="00A105A0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="00765623" w:rsidRPr="003960E6">
        <w:rPr>
          <w:rFonts w:ascii="Times" w:eastAsia="Times New Roman" w:hAnsi="Times" w:cs="Times New Roman"/>
          <w:color w:val="000000"/>
          <w:sz w:val="22"/>
          <w:szCs w:val="22"/>
        </w:rPr>
        <w:t xml:space="preserve">the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ratio between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Bacteroidetes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and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Firmicutes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(P = 0.92) were not significantly different between the engrafted and non-engrafted </w:t>
      </w:r>
      <w:r w:rsidR="00765623">
        <w:rPr>
          <w:rFonts w:ascii="Times" w:eastAsia="Times New Roman" w:hAnsi="Times" w:cs="Times New Roman"/>
          <w:color w:val="000000"/>
          <w:sz w:val="22"/>
          <w:szCs w:val="22"/>
        </w:rPr>
        <w:t>double RBX2660 recipient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s.</w:t>
      </w:r>
    </w:p>
    <w:p w14:paraId="1C212ECA" w14:textId="77777777" w:rsidR="0021278C" w:rsidRDefault="0021278C">
      <w:pP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</w:pPr>
      <w: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br w:type="page"/>
      </w:r>
    </w:p>
    <w:p w14:paraId="4593B1F1" w14:textId="6A0FCE0E" w:rsidR="0021278C" w:rsidRDefault="00B86804" w:rsidP="0021278C">
      <w:pPr>
        <w:spacing w:line="480" w:lineRule="auto"/>
        <w:rPr>
          <w:rFonts w:ascii="Times" w:eastAsia="Times New Roman" w:hAnsi="Times" w:cs="Times New Roman"/>
          <w:b/>
          <w:bCs/>
          <w:color w:val="000000"/>
          <w:sz w:val="22"/>
          <w:szCs w:val="22"/>
        </w:rPr>
      </w:pPr>
      <w:r w:rsidRPr="00B86804">
        <w:rPr>
          <w:rFonts w:ascii="Times" w:eastAsia="Times New Roman" w:hAnsi="Times" w:cs="Times New Roman"/>
          <w:b/>
          <w:bCs/>
          <w:noProof/>
          <w:color w:val="000000"/>
          <w:sz w:val="22"/>
          <w:szCs w:val="22"/>
        </w:rPr>
        <w:lastRenderedPageBreak/>
        <w:drawing>
          <wp:inline distT="0" distB="0" distL="0" distR="0" wp14:anchorId="7B60DD27" wp14:editId="4E111ADA">
            <wp:extent cx="5880100" cy="3073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80100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1EB98" w14:textId="631340E1" w:rsidR="0021278C" w:rsidRDefault="0021278C" w:rsidP="0021278C">
      <w:pPr>
        <w:spacing w:line="480" w:lineRule="auto"/>
        <w:rPr>
          <w:rFonts w:ascii="Times" w:eastAsia="Times New Roman" w:hAnsi="Times" w:cs="Times New Roman"/>
          <w:color w:val="000000"/>
          <w:sz w:val="22"/>
          <w:szCs w:val="22"/>
        </w:r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Figure S4. Comparison of </w:t>
      </w:r>
      <w:proofErr w:type="spellStart"/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resistome</w:t>
      </w:r>
      <w:proofErr w:type="spellEnd"/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compositions.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Individual 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>loads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of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an antibiotic resistant gene (ARG) in a treatment arm were average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>d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. ARGs whose average portion in the treatment arm was smaller than 2% were combined as “Rare ARGs.”</w:t>
      </w:r>
    </w:p>
    <w:p w14:paraId="3DEB8B7D" w14:textId="77777777" w:rsidR="0021278C" w:rsidRDefault="0021278C">
      <w:pPr>
        <w:rPr>
          <w:rFonts w:ascii="Times" w:eastAsia="Times New Roman" w:hAnsi="Times" w:cs="Times New Roman"/>
          <w:color w:val="000000"/>
          <w:sz w:val="22"/>
          <w:szCs w:val="22"/>
        </w:rPr>
      </w:pPr>
      <w:r>
        <w:rPr>
          <w:rFonts w:ascii="Times" w:eastAsia="Times New Roman" w:hAnsi="Times" w:cs="Times New Roman"/>
          <w:color w:val="000000"/>
          <w:sz w:val="22"/>
          <w:szCs w:val="22"/>
        </w:rPr>
        <w:br w:type="page"/>
      </w:r>
    </w:p>
    <w:p w14:paraId="5CAFFEC4" w14:textId="4374A0A8" w:rsidR="0021278C" w:rsidRDefault="00B86804" w:rsidP="0021278C">
      <w:pPr>
        <w:spacing w:line="480" w:lineRule="auto"/>
        <w:jc w:val="center"/>
        <w:rPr>
          <w:rFonts w:ascii="Times" w:eastAsia="Times New Roman" w:hAnsi="Times" w:cs="Times New Roman"/>
          <w:b/>
          <w:bCs/>
          <w:color w:val="000000"/>
          <w:sz w:val="22"/>
          <w:szCs w:val="22"/>
        </w:rPr>
      </w:pPr>
      <w:r>
        <w:rPr>
          <w:rFonts w:ascii="Times" w:eastAsia="Times New Roman" w:hAnsi="Times" w:cs="Times New Roman"/>
          <w:b/>
          <w:bCs/>
          <w:noProof/>
          <w:color w:val="000000"/>
          <w:sz w:val="22"/>
          <w:szCs w:val="22"/>
        </w:rPr>
        <w:lastRenderedPageBreak/>
        <w:drawing>
          <wp:inline distT="0" distB="0" distL="0" distR="0" wp14:anchorId="6C441D3D" wp14:editId="10E5D0F2">
            <wp:extent cx="5943600" cy="5217160"/>
            <wp:effectExtent l="0" t="0" r="0" b="2540"/>
            <wp:docPr id="5" name="Picture 5" descr="A close up of a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S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1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E7001" w14:textId="7D9DABA4" w:rsidR="0021278C" w:rsidRPr="0021278C" w:rsidRDefault="0021278C" w:rsidP="0021278C">
      <w:pPr>
        <w:spacing w:line="480" w:lineRule="auto"/>
        <w:rPr>
          <w:rFonts w:ascii="Times New Roman" w:eastAsia="Times New Roman" w:hAnsi="Times New Roman" w:cs="Times New Roman"/>
        </w:r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Figure S5. Random forest classifier successfully distinguished between donor and patient baseline </w:t>
      </w:r>
      <w:proofErr w:type="spellStart"/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resistomes</w:t>
      </w:r>
      <w:proofErr w:type="spellEnd"/>
      <w: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(related Fig. </w:t>
      </w:r>
      <w: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5)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.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a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proofErr w:type="spellStart"/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Resistome</w:t>
      </w:r>
      <w:proofErr w:type="spellEnd"/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confusion matrix depicting predicted and true labels for the test set</w:t>
      </w:r>
      <w:r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(n = 45). All but 2 samples were correctly categorized.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b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A receiver operating characteristic (ROC) curve showed high recall, precision, and area under curve (AUC) for the model. </w:t>
      </w:r>
      <w:r w:rsidR="008D0965" w:rsidRPr="008D0965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c–j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="00DB2674">
        <w:rPr>
          <w:rFonts w:ascii="Times" w:eastAsia="Times New Roman" w:hAnsi="Times" w:cs="Times New Roman"/>
          <w:color w:val="000000"/>
          <w:sz w:val="22"/>
          <w:szCs w:val="22"/>
        </w:rPr>
        <w:t>Individual c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>hanges in abundance (</w:t>
      </w:r>
      <w:r w:rsidR="008D0965" w:rsidRPr="008D0965">
        <w:rPr>
          <w:rFonts w:ascii="Times" w:eastAsia="Times New Roman" w:hAnsi="Times" w:cs="Times New Roman"/>
          <w:color w:val="000000"/>
          <w:sz w:val="22"/>
          <w:szCs w:val="22"/>
        </w:rPr>
        <w:t>reads per kilobase per million sample reads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 xml:space="preserve">, RPKM) of selected antibiotic resistant genes from baseline were similar among patients in the three treatment groups. </w:t>
      </w:r>
      <w:r w:rsidR="00DB2674">
        <w:rPr>
          <w:rFonts w:ascii="Times" w:eastAsia="Times New Roman" w:hAnsi="Times" w:cs="Times New Roman"/>
          <w:color w:val="000000"/>
          <w:sz w:val="22"/>
          <w:szCs w:val="22"/>
        </w:rPr>
        <w:t>Individual changes of t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>he two RBX2660-origin beta-lactamases</w:t>
      </w:r>
      <w:r w:rsidR="00DB2674">
        <w:rPr>
          <w:rFonts w:ascii="Times" w:eastAsia="Times New Roman" w:hAnsi="Times" w:cs="Times New Roman"/>
          <w:color w:val="000000"/>
          <w:sz w:val="22"/>
          <w:szCs w:val="22"/>
        </w:rPr>
        <w:t xml:space="preserve">, whose baseline abundances were near-zero, were described in 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>Fig. 5</w:t>
      </w:r>
      <w:r w:rsidR="00DB2674">
        <w:rPr>
          <w:rFonts w:ascii="Times" w:eastAsia="Times New Roman" w:hAnsi="Times" w:cs="Times New Roman"/>
          <w:color w:val="000000"/>
          <w:sz w:val="22"/>
          <w:szCs w:val="22"/>
        </w:rPr>
        <w:t>i and 5j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 xml:space="preserve">.  </w:t>
      </w:r>
    </w:p>
    <w:p w14:paraId="251BCDF3" w14:textId="77777777" w:rsidR="0021278C" w:rsidRPr="0021278C" w:rsidRDefault="0021278C" w:rsidP="0021278C">
      <w:pPr>
        <w:rPr>
          <w:rFonts w:ascii="Times New Roman" w:eastAsia="Times New Roman" w:hAnsi="Times New Roman" w:cs="Times New Roman"/>
        </w:rPr>
      </w:pPr>
    </w:p>
    <w:p w14:paraId="47B31F5D" w14:textId="69F64F15" w:rsidR="00A163E0" w:rsidRDefault="00391423" w:rsidP="0021278C">
      <w:pPr>
        <w:spacing w:line="480" w:lineRule="auto"/>
        <w:rPr>
          <w:rFonts w:ascii="Times" w:eastAsia="Times New Roman" w:hAnsi="Times" w:cs="Times New Roman"/>
          <w:b/>
          <w:bCs/>
          <w:color w:val="000000"/>
          <w:sz w:val="22"/>
          <w:szCs w:val="22"/>
        </w:rPr>
      </w:pPr>
      <w:r w:rsidRPr="00391423">
        <w:rPr>
          <w:rFonts w:ascii="Times" w:eastAsia="Times New Roman" w:hAnsi="Times" w:cs="Times New Roman"/>
          <w:b/>
          <w:bCs/>
          <w:noProof/>
          <w:color w:val="000000"/>
          <w:sz w:val="22"/>
          <w:szCs w:val="22"/>
          <w:lang w:eastAsia="en-US"/>
        </w:rPr>
        <w:lastRenderedPageBreak/>
        <w:drawing>
          <wp:inline distT="0" distB="0" distL="0" distR="0" wp14:anchorId="2944BE29" wp14:editId="4A3B883B">
            <wp:extent cx="5943600" cy="438912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79946" w14:textId="77777777" w:rsidR="00391423" w:rsidRDefault="0021278C" w:rsidP="0021278C">
      <w:pPr>
        <w:spacing w:line="480" w:lineRule="auto"/>
        <w:rPr>
          <w:rFonts w:ascii="Times" w:eastAsia="Times New Roman" w:hAnsi="Times" w:cs="Times New Roman"/>
          <w:color w:val="000000"/>
          <w:sz w:val="22"/>
          <w:szCs w:val="22"/>
        </w:rPr>
        <w:sectPr w:rsidR="00391423" w:rsidSect="006C7EC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Figure S6.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Average nucleotide identity (ANI) and core genome phylogeny of VRE isolates. </w:t>
      </w:r>
      <w:proofErr w:type="gramStart"/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a</w:t>
      </w:r>
      <w:proofErr w:type="gramEnd"/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ANI for all VRE isolates pairwise comparisons. All isolates show at least 99.43% pairwise identity.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b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Core genome phylogeny of VRE isolates, with 4 NCBI reference VRE strains and V583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 Enterococcus faecalis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as outgroup. Isolates originated from the same patient were labelled in the same color. Reference strain names were marked in black.</w:t>
      </w:r>
    </w:p>
    <w:p w14:paraId="67A6804B" w14:textId="4EDC9963" w:rsidR="0021278C" w:rsidRPr="0021278C" w:rsidRDefault="0054770C" w:rsidP="0021278C">
      <w:pPr>
        <w:rPr>
          <w:rFonts w:ascii="Times New Roman" w:eastAsia="Times New Roman" w:hAnsi="Times New Roman" w:cs="Times New Roman"/>
        </w:rPr>
      </w:pPr>
      <w:r w:rsidRPr="0054770C">
        <w:rPr>
          <w:rFonts w:ascii="Times New Roman" w:eastAsia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0E1CF3CB" wp14:editId="07C16F5E">
            <wp:extent cx="5675630" cy="8229600"/>
            <wp:effectExtent l="0" t="0" r="127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7563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4AD1C" w14:textId="30CAE92C" w:rsidR="0021278C" w:rsidRPr="0021278C" w:rsidRDefault="0021278C" w:rsidP="0021278C">
      <w:pPr>
        <w:spacing w:line="480" w:lineRule="auto"/>
        <w:rPr>
          <w:rFonts w:ascii="Times New Roman" w:eastAsia="Times New Roman" w:hAnsi="Times New Roman" w:cs="Times New Roman"/>
        </w:r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lastRenderedPageBreak/>
        <w:t xml:space="preserve">Figure S7. Average nucleotide identity (ANI) and core genome phylogeny of </w:t>
      </w:r>
      <w:r w:rsidRPr="0021278C">
        <w:rPr>
          <w:rFonts w:ascii="Times" w:eastAsia="Times New Roman" w:hAnsi="Times" w:cs="Times New Roman"/>
          <w:b/>
          <w:bCs/>
          <w:i/>
          <w:iCs/>
          <w:color w:val="000000"/>
          <w:sz w:val="22"/>
          <w:szCs w:val="22"/>
        </w:rPr>
        <w:t>E. coli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isolates. </w:t>
      </w:r>
      <w:proofErr w:type="gramStart"/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a</w:t>
      </w:r>
      <w:proofErr w:type="gramEnd"/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ANI for all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>E.</w:t>
      </w:r>
      <w:r w:rsidR="0061390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coli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isolates pairwise comparisons. All isolates show at least 97% pairwise identity.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b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Core genome phylogeny of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>E.</w:t>
      </w:r>
      <w:r w:rsidR="0061390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coli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isolates with 24 NCBI reference strains and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E. </w:t>
      </w:r>
      <w:proofErr w:type="spellStart"/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>fergusonii</w:t>
      </w:r>
      <w:proofErr w:type="spellEnd"/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as outgroup. Right panel indicates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 E.</w:t>
      </w:r>
      <w:r w:rsidR="0061390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coli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phylogroup. Isolates originated from the same patient or donor were labelled in the same color. Reference strains were marked in black</w:t>
      </w:r>
      <w:r w:rsidR="00A006F3">
        <w:rPr>
          <w:rFonts w:ascii="Times" w:eastAsia="Times New Roman" w:hAnsi="Times" w:cs="Times New Roman"/>
          <w:color w:val="000000"/>
          <w:sz w:val="22"/>
          <w:szCs w:val="22"/>
        </w:rPr>
        <w:t xml:space="preserve"> and bold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. Small colored squares indicate isolates from donor product that was administered to multiple patients, where the color of the text and squares correspond to the different patients.</w:t>
      </w:r>
    </w:p>
    <w:p w14:paraId="57C212A4" w14:textId="2BB66992" w:rsidR="0021278C" w:rsidRPr="0021278C" w:rsidRDefault="00B65CBB" w:rsidP="003960E6">
      <w:pPr>
        <w:jc w:val="center"/>
        <w:rPr>
          <w:rFonts w:ascii="Times New Roman" w:eastAsia="Times New Roman" w:hAnsi="Times New Roman" w:cs="Times New Roman"/>
        </w:rPr>
      </w:pPr>
      <w:r w:rsidRPr="00B65CBB">
        <w:rPr>
          <w:noProof/>
        </w:rPr>
        <w:lastRenderedPageBreak/>
        <w:t xml:space="preserve"> </w:t>
      </w:r>
      <w:r w:rsidRPr="00B65CB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F03A24C" wp14:editId="4976441B">
            <wp:extent cx="4179570" cy="8229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7957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B520700" w14:textId="6A67A023" w:rsidR="0021278C" w:rsidRPr="0021278C" w:rsidRDefault="0021278C" w:rsidP="0021278C">
      <w:pPr>
        <w:spacing w:line="480" w:lineRule="auto"/>
        <w:rPr>
          <w:rFonts w:ascii="Times New Roman" w:eastAsia="Times New Roman" w:hAnsi="Times New Roman" w:cs="Times New Roman"/>
        </w:r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lastRenderedPageBreak/>
        <w:t>Figure S8. Antibiotic susceptibility testing (AST)</w:t>
      </w:r>
      <w:r w:rsidR="00C3176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.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="00C3176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a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Pr="003960E6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>E. coli</w:t>
      </w:r>
      <w:r w:rsidR="00C3176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 </w:t>
      </w:r>
      <w:r w:rsidR="00C3176C" w:rsidRPr="003960E6">
        <w:rPr>
          <w:rFonts w:ascii="Times" w:eastAsia="Times New Roman" w:hAnsi="Times" w:cs="Times New Roman"/>
          <w:color w:val="000000"/>
          <w:sz w:val="22"/>
          <w:szCs w:val="22"/>
        </w:rPr>
        <w:t>and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="00C3176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b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Pr="003960E6">
        <w:rPr>
          <w:rFonts w:ascii="Times" w:eastAsia="Times New Roman" w:hAnsi="Times" w:cs="Times New Roman"/>
          <w:color w:val="000000"/>
          <w:sz w:val="22"/>
          <w:szCs w:val="22"/>
        </w:rPr>
        <w:t>VRE isolates.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AST showed whether isolates are susceptible (white) or intermediate/resistant (black) to a variety of antibiotics. Source of isolate and specific patient of origin were depicted in the sidebars. RBX2660-derived antibiotic resistant organisms engrafted in patients were colored as their corresponding patient. RBX2660 samples without a corresponding patient are otherwise denoted as “</w:t>
      </w:r>
      <w:r w:rsidR="00A742F7">
        <w:rPr>
          <w:rFonts w:ascii="Times" w:eastAsia="Times New Roman" w:hAnsi="Times" w:cs="Times New Roman"/>
          <w:color w:val="000000"/>
          <w:sz w:val="22"/>
          <w:szCs w:val="22"/>
        </w:rPr>
        <w:t>RBX2660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.” </w:t>
      </w:r>
    </w:p>
    <w:p w14:paraId="24E37AA5" w14:textId="77777777" w:rsidR="0021278C" w:rsidRPr="0021278C" w:rsidRDefault="0021278C" w:rsidP="0021278C">
      <w:pPr>
        <w:rPr>
          <w:rFonts w:ascii="Times New Roman" w:eastAsia="Times New Roman" w:hAnsi="Times New Roman" w:cs="Times New Roman"/>
        </w:rPr>
      </w:pPr>
    </w:p>
    <w:p w14:paraId="01905782" w14:textId="7DDDDFC2" w:rsidR="00EC20CB" w:rsidRPr="0021278C" w:rsidRDefault="00EC20CB" w:rsidP="0021278C">
      <w:pPr>
        <w:spacing w:line="480" w:lineRule="auto"/>
        <w:rPr>
          <w:rFonts w:ascii="Times New Roman" w:eastAsia="Times New Roman" w:hAnsi="Times New Roman" w:cs="Times New Roman"/>
        </w:rPr>
      </w:pPr>
    </w:p>
    <w:sectPr w:rsidR="00EC20CB" w:rsidRPr="0021278C" w:rsidSect="006C7E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78C"/>
    <w:rsid w:val="00010D22"/>
    <w:rsid w:val="00013FF5"/>
    <w:rsid w:val="00034394"/>
    <w:rsid w:val="00041CD5"/>
    <w:rsid w:val="00045889"/>
    <w:rsid w:val="000764BB"/>
    <w:rsid w:val="0008356B"/>
    <w:rsid w:val="000A6F80"/>
    <w:rsid w:val="000B192A"/>
    <w:rsid w:val="000B3583"/>
    <w:rsid w:val="000B712C"/>
    <w:rsid w:val="000D01C0"/>
    <w:rsid w:val="00131958"/>
    <w:rsid w:val="001328E1"/>
    <w:rsid w:val="00166BC4"/>
    <w:rsid w:val="001C47F7"/>
    <w:rsid w:val="001C4811"/>
    <w:rsid w:val="001C7C5B"/>
    <w:rsid w:val="001F2517"/>
    <w:rsid w:val="00200E4F"/>
    <w:rsid w:val="00210A2F"/>
    <w:rsid w:val="0021278C"/>
    <w:rsid w:val="00223BB8"/>
    <w:rsid w:val="00230ABD"/>
    <w:rsid w:val="00252A30"/>
    <w:rsid w:val="0025614B"/>
    <w:rsid w:val="00257AED"/>
    <w:rsid w:val="00260E0D"/>
    <w:rsid w:val="002C4BFA"/>
    <w:rsid w:val="002F6432"/>
    <w:rsid w:val="002F6748"/>
    <w:rsid w:val="00327607"/>
    <w:rsid w:val="00355783"/>
    <w:rsid w:val="00370F76"/>
    <w:rsid w:val="00391423"/>
    <w:rsid w:val="003960E6"/>
    <w:rsid w:val="0039683B"/>
    <w:rsid w:val="003A1620"/>
    <w:rsid w:val="003A3F8B"/>
    <w:rsid w:val="003B392A"/>
    <w:rsid w:val="003D1D4A"/>
    <w:rsid w:val="003F3316"/>
    <w:rsid w:val="0041201E"/>
    <w:rsid w:val="00443024"/>
    <w:rsid w:val="00471913"/>
    <w:rsid w:val="00477524"/>
    <w:rsid w:val="004A1876"/>
    <w:rsid w:val="005011B9"/>
    <w:rsid w:val="0054770C"/>
    <w:rsid w:val="00547F08"/>
    <w:rsid w:val="00557858"/>
    <w:rsid w:val="006043F7"/>
    <w:rsid w:val="0061390C"/>
    <w:rsid w:val="00625E6C"/>
    <w:rsid w:val="00633A63"/>
    <w:rsid w:val="00680386"/>
    <w:rsid w:val="006812C5"/>
    <w:rsid w:val="006816ED"/>
    <w:rsid w:val="006C0C00"/>
    <w:rsid w:val="006C7EC4"/>
    <w:rsid w:val="006E1C9A"/>
    <w:rsid w:val="00730DBD"/>
    <w:rsid w:val="00746699"/>
    <w:rsid w:val="00765623"/>
    <w:rsid w:val="007A22E4"/>
    <w:rsid w:val="007D08C1"/>
    <w:rsid w:val="007E0AB6"/>
    <w:rsid w:val="007E3C56"/>
    <w:rsid w:val="00826ABD"/>
    <w:rsid w:val="0083238B"/>
    <w:rsid w:val="00832CF1"/>
    <w:rsid w:val="0084586B"/>
    <w:rsid w:val="00846BAE"/>
    <w:rsid w:val="00863F1F"/>
    <w:rsid w:val="008718E0"/>
    <w:rsid w:val="00892BB4"/>
    <w:rsid w:val="008A7A7B"/>
    <w:rsid w:val="008D0965"/>
    <w:rsid w:val="008E0826"/>
    <w:rsid w:val="008F4C37"/>
    <w:rsid w:val="00906917"/>
    <w:rsid w:val="00907DD2"/>
    <w:rsid w:val="00971378"/>
    <w:rsid w:val="00985B92"/>
    <w:rsid w:val="00991720"/>
    <w:rsid w:val="009B18EC"/>
    <w:rsid w:val="009E7433"/>
    <w:rsid w:val="009F2D43"/>
    <w:rsid w:val="00A006F3"/>
    <w:rsid w:val="00A105A0"/>
    <w:rsid w:val="00A12064"/>
    <w:rsid w:val="00A163E0"/>
    <w:rsid w:val="00A334AE"/>
    <w:rsid w:val="00A742F7"/>
    <w:rsid w:val="00AA6FB4"/>
    <w:rsid w:val="00AB4F6E"/>
    <w:rsid w:val="00B420C8"/>
    <w:rsid w:val="00B61045"/>
    <w:rsid w:val="00B65CBB"/>
    <w:rsid w:val="00B86804"/>
    <w:rsid w:val="00BA2B5B"/>
    <w:rsid w:val="00BA4FD2"/>
    <w:rsid w:val="00BC4B52"/>
    <w:rsid w:val="00BF1895"/>
    <w:rsid w:val="00C27D9E"/>
    <w:rsid w:val="00C3176C"/>
    <w:rsid w:val="00C70662"/>
    <w:rsid w:val="00C71DB5"/>
    <w:rsid w:val="00CC07C9"/>
    <w:rsid w:val="00CD50C6"/>
    <w:rsid w:val="00CE141C"/>
    <w:rsid w:val="00CF3DE7"/>
    <w:rsid w:val="00D266C0"/>
    <w:rsid w:val="00D308B7"/>
    <w:rsid w:val="00D43D24"/>
    <w:rsid w:val="00D55B77"/>
    <w:rsid w:val="00D8460D"/>
    <w:rsid w:val="00D9031C"/>
    <w:rsid w:val="00DB2674"/>
    <w:rsid w:val="00DC165F"/>
    <w:rsid w:val="00DC3DC5"/>
    <w:rsid w:val="00E035D7"/>
    <w:rsid w:val="00E161CD"/>
    <w:rsid w:val="00E21CAA"/>
    <w:rsid w:val="00E92E56"/>
    <w:rsid w:val="00E97F4D"/>
    <w:rsid w:val="00EC20CB"/>
    <w:rsid w:val="00EE33BF"/>
    <w:rsid w:val="00F05F4C"/>
    <w:rsid w:val="00F25610"/>
    <w:rsid w:val="00F77EAC"/>
    <w:rsid w:val="00F91E2F"/>
    <w:rsid w:val="00F947B6"/>
    <w:rsid w:val="00FA5377"/>
    <w:rsid w:val="00FA63DE"/>
    <w:rsid w:val="00FB004B"/>
    <w:rsid w:val="00FB1DB8"/>
    <w:rsid w:val="00FF3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00106"/>
  <w15:chartTrackingRefBased/>
  <w15:docId w15:val="{049CFDA1-1752-8C4B-888D-E4187F8AD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Batang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1278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390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390C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D1D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1D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1D4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1D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1D4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209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757</Words>
  <Characters>4608</Characters>
  <Application>Microsoft Office Word</Application>
  <DocSecurity>0</DocSecurity>
  <Lines>65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Suryang Kwak</dc:creator>
  <cp:keywords/>
  <dc:description/>
  <cp:lastModifiedBy>Kwak, Suryang</cp:lastModifiedBy>
  <cp:revision>4</cp:revision>
  <dcterms:created xsi:type="dcterms:W3CDTF">2020-03-04T21:44:00Z</dcterms:created>
  <dcterms:modified xsi:type="dcterms:W3CDTF">2020-03-04T23:58:00Z</dcterms:modified>
</cp:coreProperties>
</file>