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2FA01" w14:textId="77777777" w:rsidR="00A0552F" w:rsidRPr="009573F4" w:rsidRDefault="00A0552F" w:rsidP="00A0552F">
      <w:pPr>
        <w:jc w:val="both"/>
        <w:rPr>
          <w:b/>
        </w:rPr>
      </w:pPr>
      <w:r w:rsidRPr="009573F4">
        <w:rPr>
          <w:b/>
        </w:rPr>
        <w:t>Supplementary Materials</w:t>
      </w:r>
    </w:p>
    <w:p w14:paraId="135E04A2" w14:textId="77777777" w:rsidR="00A0552F" w:rsidRPr="009573F4" w:rsidRDefault="00A0552F" w:rsidP="00A0552F">
      <w:pPr>
        <w:jc w:val="both"/>
        <w:rPr>
          <w:rFonts w:eastAsiaTheme="minorEastAsia"/>
        </w:rPr>
      </w:pPr>
    </w:p>
    <w:p w14:paraId="18E46F87" w14:textId="77777777" w:rsidR="00A0552F" w:rsidRPr="009573F4" w:rsidRDefault="00A0552F" w:rsidP="00A0552F">
      <w:pPr>
        <w:jc w:val="both"/>
        <w:rPr>
          <w:rFonts w:eastAsiaTheme="minorEastAsia"/>
          <w:b/>
        </w:rPr>
      </w:pPr>
      <w:r w:rsidRPr="009573F4">
        <w:rPr>
          <w:b/>
        </w:rPr>
        <w:t xml:space="preserve">Experiments method and microstructures. </w:t>
      </w:r>
    </w:p>
    <w:p w14:paraId="0E975C1F" w14:textId="77777777" w:rsidR="00A0552F" w:rsidRPr="009573F4" w:rsidRDefault="00A0552F" w:rsidP="00A0552F">
      <w:pPr>
        <w:jc w:val="center"/>
      </w:pPr>
      <w:r w:rsidRPr="009573F4">
        <w:rPr>
          <w:noProof/>
          <w:color w:val="4E4E4E"/>
          <w:sz w:val="20"/>
          <w:szCs w:val="20"/>
          <w:shd w:val="clear" w:color="auto" w:fill="FFFFFF"/>
        </w:rPr>
        <w:drawing>
          <wp:inline distT="0" distB="0" distL="0" distR="0" wp14:anchorId="6F2D949F" wp14:editId="42AB8814">
            <wp:extent cx="2870200" cy="241300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70200" cy="2413000"/>
                    </a:xfrm>
                    <a:prstGeom prst="rect">
                      <a:avLst/>
                    </a:prstGeom>
                  </pic:spPr>
                </pic:pic>
              </a:graphicData>
            </a:graphic>
          </wp:inline>
        </w:drawing>
      </w:r>
    </w:p>
    <w:p w14:paraId="5FB5CF13" w14:textId="77777777" w:rsidR="00A0552F" w:rsidRPr="009573F4" w:rsidRDefault="00A0552F" w:rsidP="00A0552F">
      <w:pPr>
        <w:jc w:val="center"/>
        <w:rPr>
          <w:rFonts w:eastAsiaTheme="minorEastAsia"/>
        </w:rPr>
      </w:pPr>
      <w:r w:rsidRPr="009573F4">
        <w:rPr>
          <w:rFonts w:eastAsiaTheme="minorEastAsia"/>
          <w:noProof/>
        </w:rPr>
        <w:drawing>
          <wp:inline distT="0" distB="0" distL="0" distR="0" wp14:anchorId="49904BE5" wp14:editId="3FBC67DC">
            <wp:extent cx="3928344" cy="2895895"/>
            <wp:effectExtent l="0" t="0" r="0" b="0"/>
            <wp:docPr id="1" name="图片 1" descr="A picture containing text, different,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 picture containing text, different, old&#10;&#10;Description automatically generated"/>
                    <pic:cNvPicPr/>
                  </pic:nvPicPr>
                  <pic:blipFill>
                    <a:blip r:embed="rId5"/>
                    <a:stretch>
                      <a:fillRect/>
                    </a:stretch>
                  </pic:blipFill>
                  <pic:spPr>
                    <a:xfrm>
                      <a:off x="0" y="0"/>
                      <a:ext cx="3938245" cy="2903194"/>
                    </a:xfrm>
                    <a:prstGeom prst="rect">
                      <a:avLst/>
                    </a:prstGeom>
                  </pic:spPr>
                </pic:pic>
              </a:graphicData>
            </a:graphic>
          </wp:inline>
        </w:drawing>
      </w:r>
    </w:p>
    <w:p w14:paraId="5CD6067C" w14:textId="77777777" w:rsidR="00A0552F" w:rsidRPr="009573F4" w:rsidRDefault="00A0552F" w:rsidP="00A0552F">
      <w:pPr>
        <w:jc w:val="both"/>
        <w:rPr>
          <w:color w:val="000000" w:themeColor="text1"/>
          <w:sz w:val="22"/>
          <w:szCs w:val="22"/>
          <w:shd w:val="clear" w:color="auto" w:fill="FFFFFF"/>
        </w:rPr>
      </w:pPr>
      <w:r w:rsidRPr="009573F4">
        <w:rPr>
          <w:rFonts w:eastAsiaTheme="minorEastAsia"/>
          <w:b/>
          <w:color w:val="000000" w:themeColor="text1"/>
          <w:sz w:val="22"/>
          <w:szCs w:val="22"/>
        </w:rPr>
        <w:t xml:space="preserve">Figure S1. </w:t>
      </w:r>
      <w:r w:rsidRPr="009573F4">
        <w:rPr>
          <w:b/>
          <w:color w:val="000000" w:themeColor="text1"/>
          <w:sz w:val="22"/>
          <w:szCs w:val="22"/>
          <w:shd w:val="clear" w:color="auto" w:fill="FFFFFF"/>
        </w:rPr>
        <w:t>Grain sizes of the three samples.</w:t>
      </w:r>
      <w:r w:rsidRPr="009573F4">
        <w:rPr>
          <w:color w:val="000000" w:themeColor="text1"/>
          <w:sz w:val="22"/>
          <w:szCs w:val="22"/>
          <w:shd w:val="clear" w:color="auto" w:fill="FFFFFF"/>
        </w:rPr>
        <w:t xml:space="preserve"> </w:t>
      </w:r>
      <w:r w:rsidRPr="009573F4">
        <w:rPr>
          <w:rFonts w:eastAsiaTheme="minorEastAsia"/>
          <w:color w:val="000000" w:themeColor="text1"/>
          <w:sz w:val="22"/>
          <w:szCs w:val="22"/>
        </w:rPr>
        <w:t xml:space="preserve">(a) </w:t>
      </w:r>
      <w:proofErr w:type="gramStart"/>
      <w:r w:rsidRPr="009573F4">
        <w:rPr>
          <w:rFonts w:eastAsiaTheme="minorEastAsia"/>
          <w:color w:val="000000" w:themeColor="text1"/>
          <w:sz w:val="22"/>
          <w:szCs w:val="22"/>
        </w:rPr>
        <w:t>as-received</w:t>
      </w:r>
      <w:proofErr w:type="gramEnd"/>
      <w:r w:rsidRPr="009573F4">
        <w:rPr>
          <w:rFonts w:eastAsiaTheme="minorEastAsia"/>
          <w:color w:val="000000" w:themeColor="text1"/>
          <w:sz w:val="22"/>
          <w:szCs w:val="22"/>
        </w:rPr>
        <w:t xml:space="preserve">, (b) 600 </w:t>
      </w:r>
      <w:proofErr w:type="spellStart"/>
      <w:r w:rsidRPr="009573F4">
        <w:rPr>
          <w:rFonts w:eastAsiaTheme="minorEastAsia"/>
          <w:color w:val="000000" w:themeColor="text1"/>
          <w:sz w:val="22"/>
          <w:szCs w:val="22"/>
          <w:vertAlign w:val="superscript"/>
        </w:rPr>
        <w:t>o</w:t>
      </w:r>
      <w:r w:rsidRPr="009573F4">
        <w:rPr>
          <w:rFonts w:eastAsiaTheme="minorEastAsia"/>
          <w:color w:val="000000" w:themeColor="text1"/>
          <w:sz w:val="22"/>
          <w:szCs w:val="22"/>
        </w:rPr>
        <w:t>C</w:t>
      </w:r>
      <w:proofErr w:type="spellEnd"/>
      <w:r w:rsidRPr="009573F4">
        <w:rPr>
          <w:rFonts w:eastAsiaTheme="minorEastAsia"/>
          <w:color w:val="000000" w:themeColor="text1"/>
          <w:sz w:val="22"/>
          <w:szCs w:val="22"/>
        </w:rPr>
        <w:t xml:space="preserve">, and (c) 800 </w:t>
      </w:r>
      <w:proofErr w:type="spellStart"/>
      <w:r w:rsidRPr="009573F4">
        <w:rPr>
          <w:rFonts w:eastAsiaTheme="minorEastAsia"/>
          <w:color w:val="000000" w:themeColor="text1"/>
          <w:sz w:val="22"/>
          <w:szCs w:val="22"/>
          <w:vertAlign w:val="superscript"/>
        </w:rPr>
        <w:t>o</w:t>
      </w:r>
      <w:r w:rsidRPr="009573F4">
        <w:rPr>
          <w:rFonts w:eastAsiaTheme="minorEastAsia"/>
          <w:color w:val="000000" w:themeColor="text1"/>
          <w:sz w:val="22"/>
          <w:szCs w:val="22"/>
        </w:rPr>
        <w:t>C</w:t>
      </w:r>
      <w:proofErr w:type="spellEnd"/>
      <w:r w:rsidRPr="009573F4">
        <w:rPr>
          <w:rFonts w:eastAsiaTheme="minorEastAsia"/>
          <w:color w:val="000000" w:themeColor="text1"/>
          <w:sz w:val="22"/>
          <w:szCs w:val="22"/>
        </w:rPr>
        <w:t xml:space="preserve"> illustrates the optical microscope (OM) observation of the etched samples under the same magnification. (d) is the SEM backscattered electron (BSE) image of </w:t>
      </w:r>
      <w:bookmarkStart w:id="0" w:name="OLE_LINK1"/>
      <w:r w:rsidRPr="009573F4">
        <w:rPr>
          <w:rFonts w:eastAsiaTheme="minorEastAsia"/>
          <w:color w:val="000000" w:themeColor="text1"/>
          <w:sz w:val="22"/>
          <w:szCs w:val="22"/>
        </w:rPr>
        <w:t xml:space="preserve">1100 </w:t>
      </w:r>
      <w:proofErr w:type="spellStart"/>
      <w:r w:rsidRPr="009573F4">
        <w:rPr>
          <w:rFonts w:eastAsiaTheme="minorEastAsia"/>
          <w:color w:val="000000" w:themeColor="text1"/>
          <w:sz w:val="22"/>
          <w:szCs w:val="22"/>
          <w:vertAlign w:val="superscript"/>
        </w:rPr>
        <w:t>o</w:t>
      </w:r>
      <w:r w:rsidRPr="009573F4">
        <w:rPr>
          <w:rFonts w:eastAsiaTheme="minorEastAsia"/>
          <w:color w:val="000000" w:themeColor="text1"/>
          <w:sz w:val="22"/>
          <w:szCs w:val="22"/>
        </w:rPr>
        <w:t>C</w:t>
      </w:r>
      <w:bookmarkEnd w:id="0"/>
      <w:proofErr w:type="spellEnd"/>
      <w:r w:rsidRPr="009573F4">
        <w:rPr>
          <w:rFonts w:eastAsiaTheme="minorEastAsia"/>
          <w:color w:val="000000" w:themeColor="text1"/>
          <w:sz w:val="22"/>
          <w:szCs w:val="22"/>
        </w:rPr>
        <w:t xml:space="preserve"> annealed state. The observation points out that the grain size </w:t>
      </w:r>
      <w:r w:rsidRPr="009573F4">
        <w:rPr>
          <w:color w:val="000000" w:themeColor="text1"/>
          <w:sz w:val="22"/>
          <w:szCs w:val="22"/>
          <w:shd w:val="clear" w:color="auto" w:fill="FFFFFF"/>
        </w:rPr>
        <w:t xml:space="preserve">(including annealing twin boundary) of the three samples were 4.28 </w:t>
      </w:r>
      <w:proofErr w:type="spellStart"/>
      <w:r w:rsidRPr="009573F4">
        <w:rPr>
          <w:color w:val="000000" w:themeColor="text1"/>
          <w:sz w:val="22"/>
          <w:szCs w:val="22"/>
          <w:shd w:val="clear" w:color="auto" w:fill="FFFFFF"/>
        </w:rPr>
        <w:t>μm</w:t>
      </w:r>
      <w:proofErr w:type="spellEnd"/>
      <w:r w:rsidRPr="009573F4">
        <w:rPr>
          <w:color w:val="000000" w:themeColor="text1"/>
          <w:sz w:val="22"/>
          <w:szCs w:val="22"/>
          <w:shd w:val="clear" w:color="auto" w:fill="FFFFFF"/>
        </w:rPr>
        <w:t xml:space="preserve"> (</w:t>
      </w:r>
      <w:proofErr w:type="gramStart"/>
      <w:r w:rsidRPr="009573F4">
        <w:rPr>
          <w:color w:val="000000" w:themeColor="text1"/>
          <w:sz w:val="22"/>
          <w:szCs w:val="22"/>
          <w:shd w:val="clear" w:color="auto" w:fill="FFFFFF"/>
        </w:rPr>
        <w:t>as-received</w:t>
      </w:r>
      <w:proofErr w:type="gramEnd"/>
      <w:r w:rsidRPr="009573F4">
        <w:rPr>
          <w:color w:val="000000" w:themeColor="text1"/>
          <w:sz w:val="22"/>
          <w:szCs w:val="22"/>
          <w:shd w:val="clear" w:color="auto" w:fill="FFFFFF"/>
        </w:rPr>
        <w:t xml:space="preserve">), 4.55 </w:t>
      </w:r>
      <w:proofErr w:type="spellStart"/>
      <w:r w:rsidRPr="009573F4">
        <w:rPr>
          <w:color w:val="000000" w:themeColor="text1"/>
          <w:sz w:val="22"/>
          <w:szCs w:val="22"/>
          <w:shd w:val="clear" w:color="auto" w:fill="FFFFFF"/>
        </w:rPr>
        <w:t>μm</w:t>
      </w:r>
      <w:proofErr w:type="spellEnd"/>
      <w:r w:rsidRPr="009573F4">
        <w:rPr>
          <w:color w:val="000000" w:themeColor="text1"/>
          <w:sz w:val="22"/>
          <w:szCs w:val="22"/>
          <w:shd w:val="clear" w:color="auto" w:fill="FFFFFF"/>
        </w:rPr>
        <w:t xml:space="preserve"> (600 </w:t>
      </w:r>
      <w:proofErr w:type="spellStart"/>
      <w:r w:rsidRPr="009573F4">
        <w:rPr>
          <w:color w:val="000000" w:themeColor="text1"/>
          <w:sz w:val="22"/>
          <w:szCs w:val="22"/>
          <w:shd w:val="clear" w:color="auto" w:fill="FFFFFF"/>
          <w:vertAlign w:val="superscript"/>
        </w:rPr>
        <w:t>o</w:t>
      </w:r>
      <w:r w:rsidRPr="009573F4">
        <w:rPr>
          <w:color w:val="000000" w:themeColor="text1"/>
          <w:sz w:val="22"/>
          <w:szCs w:val="22"/>
          <w:shd w:val="clear" w:color="auto" w:fill="FFFFFF"/>
        </w:rPr>
        <w:t>C</w:t>
      </w:r>
      <w:proofErr w:type="spellEnd"/>
      <w:r w:rsidRPr="009573F4">
        <w:rPr>
          <w:color w:val="000000" w:themeColor="text1"/>
          <w:sz w:val="22"/>
          <w:szCs w:val="22"/>
          <w:shd w:val="clear" w:color="auto" w:fill="FFFFFF"/>
        </w:rPr>
        <w:t xml:space="preserve">), 4.66 </w:t>
      </w:r>
      <w:proofErr w:type="spellStart"/>
      <w:r w:rsidRPr="009573F4">
        <w:rPr>
          <w:color w:val="000000" w:themeColor="text1"/>
          <w:sz w:val="22"/>
          <w:szCs w:val="22"/>
          <w:shd w:val="clear" w:color="auto" w:fill="FFFFFF"/>
        </w:rPr>
        <w:t>μm</w:t>
      </w:r>
      <w:proofErr w:type="spellEnd"/>
      <w:r w:rsidRPr="009573F4">
        <w:rPr>
          <w:color w:val="000000" w:themeColor="text1"/>
          <w:sz w:val="22"/>
          <w:szCs w:val="22"/>
          <w:shd w:val="clear" w:color="auto" w:fill="FFFFFF"/>
        </w:rPr>
        <w:t xml:space="preserve"> (800 </w:t>
      </w:r>
      <w:proofErr w:type="spellStart"/>
      <w:r w:rsidRPr="009573F4">
        <w:rPr>
          <w:color w:val="000000" w:themeColor="text1"/>
          <w:sz w:val="22"/>
          <w:szCs w:val="22"/>
          <w:shd w:val="clear" w:color="auto" w:fill="FFFFFF"/>
          <w:vertAlign w:val="superscript"/>
        </w:rPr>
        <w:t>o</w:t>
      </w:r>
      <w:r w:rsidRPr="009573F4">
        <w:rPr>
          <w:color w:val="000000" w:themeColor="text1"/>
          <w:sz w:val="22"/>
          <w:szCs w:val="22"/>
          <w:shd w:val="clear" w:color="auto" w:fill="FFFFFF"/>
        </w:rPr>
        <w:t>C</w:t>
      </w:r>
      <w:proofErr w:type="spellEnd"/>
      <w:r w:rsidRPr="009573F4">
        <w:rPr>
          <w:color w:val="000000" w:themeColor="text1"/>
          <w:sz w:val="22"/>
          <w:szCs w:val="22"/>
          <w:shd w:val="clear" w:color="auto" w:fill="FFFFFF"/>
        </w:rPr>
        <w:t xml:space="preserve">), and ~182 </w:t>
      </w:r>
      <w:proofErr w:type="spellStart"/>
      <w:r w:rsidRPr="009573F4">
        <w:rPr>
          <w:color w:val="000000" w:themeColor="text1"/>
          <w:sz w:val="22"/>
          <w:szCs w:val="22"/>
          <w:shd w:val="clear" w:color="auto" w:fill="FFFFFF"/>
        </w:rPr>
        <w:t>μm</w:t>
      </w:r>
      <w:proofErr w:type="spellEnd"/>
      <w:r w:rsidRPr="009573F4">
        <w:rPr>
          <w:color w:val="000000" w:themeColor="text1"/>
          <w:sz w:val="22"/>
          <w:szCs w:val="22"/>
          <w:shd w:val="clear" w:color="auto" w:fill="FFFFFF"/>
        </w:rPr>
        <w:t xml:space="preserve"> </w:t>
      </w:r>
      <w:r w:rsidRPr="009573F4">
        <w:rPr>
          <w:rFonts w:eastAsiaTheme="minorEastAsia"/>
          <w:color w:val="000000" w:themeColor="text1"/>
          <w:sz w:val="22"/>
          <w:szCs w:val="22"/>
        </w:rPr>
        <w:t xml:space="preserve">1100 </w:t>
      </w:r>
      <w:proofErr w:type="spellStart"/>
      <w:r w:rsidRPr="009573F4">
        <w:rPr>
          <w:rFonts w:eastAsiaTheme="minorEastAsia"/>
          <w:color w:val="000000" w:themeColor="text1"/>
          <w:sz w:val="22"/>
          <w:szCs w:val="22"/>
          <w:vertAlign w:val="superscript"/>
        </w:rPr>
        <w:t>o</w:t>
      </w:r>
      <w:r w:rsidRPr="009573F4">
        <w:rPr>
          <w:rFonts w:eastAsiaTheme="minorEastAsia"/>
          <w:color w:val="000000" w:themeColor="text1"/>
          <w:sz w:val="22"/>
          <w:szCs w:val="22"/>
        </w:rPr>
        <w:t>C</w:t>
      </w:r>
      <w:proofErr w:type="spellEnd"/>
      <w:r w:rsidRPr="009573F4">
        <w:rPr>
          <w:color w:val="000000" w:themeColor="text1"/>
          <w:sz w:val="22"/>
          <w:szCs w:val="22"/>
          <w:shd w:val="clear" w:color="auto" w:fill="FFFFFF"/>
        </w:rPr>
        <w:t xml:space="preserve">, respectively. The grain sizes of the </w:t>
      </w:r>
      <w:proofErr w:type="gramStart"/>
      <w:r w:rsidRPr="009573F4">
        <w:rPr>
          <w:color w:val="000000" w:themeColor="text1"/>
          <w:sz w:val="22"/>
          <w:szCs w:val="22"/>
          <w:shd w:val="clear" w:color="auto" w:fill="FFFFFF"/>
        </w:rPr>
        <w:t>as-received</w:t>
      </w:r>
      <w:proofErr w:type="gramEnd"/>
      <w:r w:rsidRPr="009573F4">
        <w:rPr>
          <w:color w:val="000000" w:themeColor="text1"/>
          <w:sz w:val="22"/>
          <w:szCs w:val="22"/>
          <w:shd w:val="clear" w:color="auto" w:fill="FFFFFF"/>
        </w:rPr>
        <w:t xml:space="preserve">, 600 </w:t>
      </w:r>
      <w:proofErr w:type="spellStart"/>
      <w:r w:rsidRPr="009573F4">
        <w:rPr>
          <w:rFonts w:eastAsiaTheme="minorEastAsia"/>
          <w:color w:val="000000" w:themeColor="text1"/>
          <w:sz w:val="22"/>
          <w:szCs w:val="22"/>
          <w:vertAlign w:val="superscript"/>
        </w:rPr>
        <w:t>o</w:t>
      </w:r>
      <w:r w:rsidRPr="009573F4">
        <w:rPr>
          <w:rFonts w:eastAsiaTheme="minorEastAsia"/>
          <w:color w:val="000000" w:themeColor="text1"/>
          <w:sz w:val="22"/>
          <w:szCs w:val="22"/>
        </w:rPr>
        <w:t>C</w:t>
      </w:r>
      <w:proofErr w:type="spellEnd"/>
      <w:r w:rsidRPr="009573F4">
        <w:rPr>
          <w:rFonts w:eastAsiaTheme="minorEastAsia"/>
          <w:color w:val="000000" w:themeColor="text1"/>
          <w:sz w:val="22"/>
          <w:szCs w:val="22"/>
        </w:rPr>
        <w:t xml:space="preserve">, and 800 </w:t>
      </w:r>
      <w:proofErr w:type="spellStart"/>
      <w:r w:rsidRPr="009573F4">
        <w:rPr>
          <w:rFonts w:eastAsiaTheme="minorEastAsia"/>
          <w:color w:val="000000" w:themeColor="text1"/>
          <w:sz w:val="22"/>
          <w:szCs w:val="22"/>
          <w:vertAlign w:val="superscript"/>
        </w:rPr>
        <w:t>o</w:t>
      </w:r>
      <w:r w:rsidRPr="009573F4">
        <w:rPr>
          <w:rFonts w:eastAsiaTheme="minorEastAsia"/>
          <w:color w:val="000000" w:themeColor="text1"/>
          <w:sz w:val="22"/>
          <w:szCs w:val="22"/>
        </w:rPr>
        <w:t>C</w:t>
      </w:r>
      <w:proofErr w:type="spellEnd"/>
      <w:r w:rsidRPr="009573F4">
        <w:rPr>
          <w:color w:val="000000" w:themeColor="text1"/>
          <w:sz w:val="22"/>
          <w:szCs w:val="22"/>
          <w:shd w:val="clear" w:color="auto" w:fill="FFFFFF"/>
        </w:rPr>
        <w:t xml:space="preserve"> samples are very close. Even though a larger grain size of ~182 </w:t>
      </w:r>
      <w:proofErr w:type="spellStart"/>
      <w:r w:rsidRPr="009573F4">
        <w:rPr>
          <w:color w:val="000000" w:themeColor="text1"/>
          <w:sz w:val="22"/>
          <w:szCs w:val="22"/>
          <w:shd w:val="clear" w:color="auto" w:fill="FFFFFF"/>
        </w:rPr>
        <w:t>μm</w:t>
      </w:r>
      <w:proofErr w:type="spellEnd"/>
      <w:r w:rsidRPr="009573F4">
        <w:rPr>
          <w:color w:val="000000" w:themeColor="text1"/>
          <w:sz w:val="22"/>
          <w:szCs w:val="22"/>
          <w:shd w:val="clear" w:color="auto" w:fill="FFFFFF"/>
        </w:rPr>
        <w:t xml:space="preserve"> </w:t>
      </w:r>
      <w:r w:rsidRPr="009573F4">
        <w:rPr>
          <w:rFonts w:eastAsiaTheme="minorEastAsia"/>
          <w:color w:val="000000" w:themeColor="text1"/>
          <w:sz w:val="22"/>
          <w:szCs w:val="22"/>
        </w:rPr>
        <w:t xml:space="preserve">is observed in </w:t>
      </w:r>
      <w:r w:rsidRPr="009573F4">
        <w:rPr>
          <w:color w:val="000000" w:themeColor="text1"/>
          <w:sz w:val="22"/>
          <w:szCs w:val="22"/>
          <w:shd w:val="clear" w:color="auto" w:fill="FFFFFF"/>
        </w:rPr>
        <w:t xml:space="preserve">1100 </w:t>
      </w:r>
      <w:proofErr w:type="spellStart"/>
      <w:r w:rsidRPr="009573F4">
        <w:rPr>
          <w:rFonts w:eastAsiaTheme="minorEastAsia"/>
          <w:color w:val="000000" w:themeColor="text1"/>
          <w:sz w:val="22"/>
          <w:szCs w:val="22"/>
          <w:vertAlign w:val="superscript"/>
        </w:rPr>
        <w:t>o</w:t>
      </w:r>
      <w:r w:rsidRPr="009573F4">
        <w:rPr>
          <w:rFonts w:eastAsiaTheme="minorEastAsia"/>
          <w:color w:val="000000" w:themeColor="text1"/>
          <w:sz w:val="22"/>
          <w:szCs w:val="22"/>
        </w:rPr>
        <w:t>C</w:t>
      </w:r>
      <w:proofErr w:type="spellEnd"/>
      <w:r w:rsidRPr="009573F4">
        <w:rPr>
          <w:rFonts w:eastAsiaTheme="minorEastAsia"/>
          <w:color w:val="000000" w:themeColor="text1"/>
          <w:sz w:val="22"/>
          <w:szCs w:val="22"/>
        </w:rPr>
        <w:t>, considering the Hall-</w:t>
      </w:r>
      <w:proofErr w:type="spellStart"/>
      <w:r w:rsidRPr="009573F4">
        <w:rPr>
          <w:rFonts w:eastAsiaTheme="minorEastAsia"/>
          <w:color w:val="000000" w:themeColor="text1"/>
          <w:sz w:val="22"/>
          <w:szCs w:val="22"/>
        </w:rPr>
        <w:t>petch</w:t>
      </w:r>
      <w:proofErr w:type="spellEnd"/>
      <w:r w:rsidRPr="009573F4">
        <w:rPr>
          <w:rFonts w:eastAsiaTheme="minorEastAsia"/>
          <w:color w:val="000000" w:themeColor="text1"/>
          <w:sz w:val="22"/>
          <w:szCs w:val="22"/>
        </w:rPr>
        <w:t xml:space="preserve"> coefficient of </w:t>
      </w:r>
      <w:proofErr w:type="spellStart"/>
      <w:r w:rsidRPr="009573F4">
        <w:rPr>
          <w:rFonts w:eastAsiaTheme="minorEastAsia"/>
          <w:color w:val="000000" w:themeColor="text1"/>
          <w:sz w:val="22"/>
          <w:szCs w:val="22"/>
        </w:rPr>
        <w:t>CoCrNi</w:t>
      </w:r>
      <w:proofErr w:type="spellEnd"/>
      <w:r w:rsidRPr="009573F4">
        <w:rPr>
          <w:rFonts w:eastAsiaTheme="minorEastAsia"/>
          <w:color w:val="000000" w:themeColor="text1"/>
          <w:sz w:val="22"/>
          <w:szCs w:val="22"/>
        </w:rPr>
        <w:t xml:space="preserve"> (265 </w:t>
      </w:r>
      <w:r w:rsidRPr="009573F4">
        <w:rPr>
          <w:color w:val="000000" w:themeColor="text1"/>
          <w:sz w:val="22"/>
          <w:szCs w:val="22"/>
          <w:shd w:val="clear" w:color="auto" w:fill="FFFFFF"/>
        </w:rPr>
        <w:t>MPa·μm</w:t>
      </w:r>
      <w:r w:rsidRPr="009573F4">
        <w:rPr>
          <w:color w:val="000000" w:themeColor="text1"/>
          <w:sz w:val="22"/>
          <w:szCs w:val="22"/>
          <w:shd w:val="clear" w:color="auto" w:fill="FFFFFF"/>
          <w:vertAlign w:val="superscript"/>
        </w:rPr>
        <w:t>1/2</w:t>
      </w:r>
      <w:r w:rsidRPr="009573F4">
        <w:rPr>
          <w:rFonts w:eastAsiaTheme="minorEastAsia"/>
          <w:color w:val="000000" w:themeColor="text1"/>
          <w:sz w:val="22"/>
          <w:szCs w:val="22"/>
        </w:rPr>
        <w:t>), the difference of strengthening contributed by grain boundary between 1100</w:t>
      </w:r>
      <w:r w:rsidRPr="009573F4">
        <w:rPr>
          <w:color w:val="000000" w:themeColor="text1"/>
          <w:sz w:val="22"/>
          <w:szCs w:val="22"/>
          <w:shd w:val="clear" w:color="auto" w:fill="FFFFFF"/>
        </w:rPr>
        <w:t xml:space="preserve"> </w:t>
      </w:r>
      <w:proofErr w:type="spellStart"/>
      <w:r w:rsidRPr="009573F4">
        <w:rPr>
          <w:rFonts w:eastAsiaTheme="minorEastAsia"/>
          <w:color w:val="000000" w:themeColor="text1"/>
          <w:sz w:val="22"/>
          <w:szCs w:val="22"/>
          <w:vertAlign w:val="superscript"/>
        </w:rPr>
        <w:t>o</w:t>
      </w:r>
      <w:r w:rsidRPr="009573F4">
        <w:rPr>
          <w:rFonts w:eastAsiaTheme="minorEastAsia"/>
          <w:color w:val="000000" w:themeColor="text1"/>
          <w:sz w:val="22"/>
          <w:szCs w:val="22"/>
        </w:rPr>
        <w:t>C</w:t>
      </w:r>
      <w:proofErr w:type="spellEnd"/>
      <w:r w:rsidRPr="009573F4">
        <w:rPr>
          <w:color w:val="000000" w:themeColor="text1"/>
          <w:sz w:val="22"/>
          <w:szCs w:val="22"/>
          <w:shd w:val="clear" w:color="auto" w:fill="FFFFFF"/>
        </w:rPr>
        <w:t>, and others is only about 105.3 MPa, which is much smaller than the yield strength difference (&gt; 200 MPa). Thus, it seems that the influence of grain size on mechanical behavior may not be a major factor. Accordingly, the change of SRO should play more important role in affecting the mechanical properties.</w:t>
      </w:r>
    </w:p>
    <w:p w14:paraId="19C3A32F" w14:textId="77777777" w:rsidR="00A0552F" w:rsidRPr="009573F4" w:rsidRDefault="00A0552F" w:rsidP="00A0552F">
      <w:pPr>
        <w:jc w:val="both"/>
        <w:rPr>
          <w:color w:val="4E4E4E"/>
          <w:sz w:val="22"/>
          <w:szCs w:val="22"/>
          <w:shd w:val="clear" w:color="auto" w:fill="FFFFFF"/>
        </w:rPr>
      </w:pPr>
    </w:p>
    <w:p w14:paraId="0157F747" w14:textId="77777777" w:rsidR="00A0552F" w:rsidRPr="009573F4" w:rsidRDefault="00A0552F" w:rsidP="00A0552F">
      <w:pPr>
        <w:jc w:val="both"/>
        <w:rPr>
          <w:color w:val="4E4E4E"/>
          <w:sz w:val="22"/>
          <w:szCs w:val="22"/>
          <w:shd w:val="clear" w:color="auto" w:fill="FFFFFF"/>
        </w:rPr>
      </w:pPr>
    </w:p>
    <w:p w14:paraId="26B610EC" w14:textId="77777777" w:rsidR="00A0552F" w:rsidRPr="009573F4" w:rsidRDefault="00A0552F" w:rsidP="00A0552F">
      <w:pPr>
        <w:jc w:val="both"/>
      </w:pPr>
      <w:r w:rsidRPr="009573F4">
        <w:rPr>
          <w:noProof/>
        </w:rPr>
        <w:lastRenderedPageBreak/>
        <w:drawing>
          <wp:inline distT="0" distB="0" distL="0" distR="0" wp14:anchorId="39E92A54" wp14:editId="4109B653">
            <wp:extent cx="5943600" cy="1591945"/>
            <wp:effectExtent l="0" t="0" r="0" b="0"/>
            <wp:docPr id="6" name="图片 5">
              <a:extLst xmlns:a="http://schemas.openxmlformats.org/drawingml/2006/main">
                <a:ext uri="{FF2B5EF4-FFF2-40B4-BE49-F238E27FC236}">
                  <a16:creationId xmlns:a16="http://schemas.microsoft.com/office/drawing/2014/main" id="{CD778DFD-A8AF-460C-9FB5-B6D7A87D2D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CD778DFD-A8AF-460C-9FB5-B6D7A87D2D15}"/>
                        </a:ext>
                      </a:extLst>
                    </pic:cNvPr>
                    <pic:cNvPicPr>
                      <a:picLocks noChangeAspect="1"/>
                    </pic:cNvPicPr>
                  </pic:nvPicPr>
                  <pic:blipFill>
                    <a:blip r:embed="rId6" cstate="print">
                      <a:extLst>
                        <a:ext uri="{28A0092B-C50C-407E-A947-70E740481C1C}">
                          <a14:useLocalDpi xmlns:a14="http://schemas.microsoft.com/office/drawing/2010/main"/>
                        </a:ext>
                      </a:extLst>
                    </a:blip>
                    <a:stretch>
                      <a:fillRect/>
                    </a:stretch>
                  </pic:blipFill>
                  <pic:spPr>
                    <a:xfrm>
                      <a:off x="0" y="0"/>
                      <a:ext cx="5943600" cy="1591945"/>
                    </a:xfrm>
                    <a:prstGeom prst="rect">
                      <a:avLst/>
                    </a:prstGeom>
                  </pic:spPr>
                </pic:pic>
              </a:graphicData>
            </a:graphic>
          </wp:inline>
        </w:drawing>
      </w:r>
    </w:p>
    <w:p w14:paraId="31B3F512" w14:textId="77777777" w:rsidR="00A0552F" w:rsidRPr="009573F4" w:rsidRDefault="00A0552F" w:rsidP="00A0552F">
      <w:pPr>
        <w:jc w:val="both"/>
        <w:rPr>
          <w:color w:val="000000" w:themeColor="text1"/>
        </w:rPr>
      </w:pPr>
    </w:p>
    <w:p w14:paraId="5FCD6F84" w14:textId="77777777" w:rsidR="00A0552F" w:rsidRPr="009573F4" w:rsidRDefault="00A0552F" w:rsidP="00A0552F">
      <w:pPr>
        <w:jc w:val="both"/>
        <w:rPr>
          <w:rFonts w:eastAsiaTheme="minorEastAsia"/>
          <w:color w:val="000000" w:themeColor="text1"/>
          <w:sz w:val="22"/>
          <w:szCs w:val="22"/>
        </w:rPr>
      </w:pPr>
      <w:r w:rsidRPr="009573F4">
        <w:rPr>
          <w:rFonts w:eastAsiaTheme="minorEastAsia"/>
          <w:b/>
          <w:color w:val="000000" w:themeColor="text1"/>
          <w:sz w:val="22"/>
          <w:szCs w:val="22"/>
        </w:rPr>
        <w:t xml:space="preserve">Figure S2. The illustration of the fractured sample. </w:t>
      </w:r>
      <w:r w:rsidRPr="009573F4">
        <w:rPr>
          <w:rFonts w:eastAsiaTheme="minorEastAsia"/>
          <w:color w:val="000000" w:themeColor="text1"/>
          <w:sz w:val="22"/>
          <w:szCs w:val="22"/>
        </w:rPr>
        <w:t xml:space="preserve">The explanation of the </w:t>
      </w:r>
      <w:r w:rsidRPr="009573F4">
        <w:rPr>
          <w:color w:val="000000" w:themeColor="text1"/>
          <w:sz w:val="22"/>
          <w:szCs w:val="22"/>
          <w:shd w:val="clear" w:color="auto" w:fill="FFFFFF"/>
        </w:rPr>
        <w:t>fracture shrinkage rate</w:t>
      </w:r>
      <w:r w:rsidRPr="009573F4">
        <w:rPr>
          <w:rFonts w:eastAsiaTheme="minorEastAsia"/>
          <w:color w:val="000000" w:themeColor="text1"/>
          <w:sz w:val="22"/>
          <w:szCs w:val="22"/>
        </w:rPr>
        <w:t xml:space="preserve"> can be represented as below (the A1 and A2 are the area of the fracture and the uniform section, respectively):</w:t>
      </w:r>
    </w:p>
    <w:p w14:paraId="673C1772" w14:textId="77777777" w:rsidR="00A0552F" w:rsidRPr="009573F4" w:rsidRDefault="00A0552F" w:rsidP="00A0552F">
      <w:pPr>
        <w:jc w:val="both"/>
        <w:rPr>
          <w:rFonts w:eastAsiaTheme="minorEastAsia"/>
          <w:color w:val="000000" w:themeColor="text1"/>
        </w:rPr>
      </w:pPr>
      <w:r w:rsidRPr="009573F4">
        <w:rPr>
          <w:noProof/>
          <w:color w:val="000000" w:themeColor="text1"/>
        </w:rPr>
        <mc:AlternateContent>
          <mc:Choice Requires="wps">
            <w:drawing>
              <wp:anchor distT="0" distB="0" distL="114300" distR="114300" simplePos="0" relativeHeight="251659264" behindDoc="0" locked="0" layoutInCell="1" allowOverlap="1" wp14:anchorId="2CA477E1" wp14:editId="3C97B187">
                <wp:simplePos x="0" y="0"/>
                <wp:positionH relativeFrom="column">
                  <wp:posOffset>1932807</wp:posOffset>
                </wp:positionH>
                <wp:positionV relativeFrom="paragraph">
                  <wp:posOffset>97648</wp:posOffset>
                </wp:positionV>
                <wp:extent cx="1735358" cy="491096"/>
                <wp:effectExtent l="0" t="0" r="0" b="0"/>
                <wp:wrapNone/>
                <wp:docPr id="16" name="文本框 15">
                  <a:extLst xmlns:a="http://schemas.openxmlformats.org/drawingml/2006/main">
                    <a:ext uri="{FF2B5EF4-FFF2-40B4-BE49-F238E27FC236}">
                      <a16:creationId xmlns:a16="http://schemas.microsoft.com/office/drawing/2014/main" id="{E50E5735-2B41-4A32-9106-4F1C88AD8415}"/>
                    </a:ext>
                  </a:extLst>
                </wp:docPr>
                <wp:cNvGraphicFramePr/>
                <a:graphic xmlns:a="http://schemas.openxmlformats.org/drawingml/2006/main">
                  <a:graphicData uri="http://schemas.microsoft.com/office/word/2010/wordprocessingShape">
                    <wps:wsp>
                      <wps:cNvSpPr txBox="1"/>
                      <wps:spPr>
                        <a:xfrm>
                          <a:off x="0" y="0"/>
                          <a:ext cx="1735358" cy="491096"/>
                        </a:xfrm>
                        <a:prstGeom prst="rect">
                          <a:avLst/>
                        </a:prstGeom>
                        <a:noFill/>
                      </wps:spPr>
                      <wps:txbx>
                        <w:txbxContent>
                          <w:p w14:paraId="538A7E6C" w14:textId="77777777" w:rsidR="00A0552F" w:rsidRDefault="00A0552F" w:rsidP="00A0552F">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m:oMath>
                              <m:f>
                                <m:fPr>
                                  <m:ctrlPr>
                                    <w:rPr>
                                      <w:rFonts w:ascii="Cambria Math" w:eastAsiaTheme="minorEastAsia" w:hAnsi="Cambria Math" w:cstheme="minorBidi"/>
                                      <w:i/>
                                      <w:iCs/>
                                      <w:color w:val="000000" w:themeColor="text1"/>
                                      <w:kern w:val="24"/>
                                      <w:sz w:val="36"/>
                                      <w:szCs w:val="36"/>
                                    </w:rPr>
                                  </m:ctrlPr>
                                </m:fPr>
                                <m:num>
                                  <m:r>
                                    <w:rPr>
                                      <w:rFonts w:ascii="Cambria Math" w:hAnsi="Cambria Math" w:cstheme="minorBidi"/>
                                      <w:color w:val="000000" w:themeColor="text1"/>
                                      <w:kern w:val="24"/>
                                      <w:sz w:val="36"/>
                                      <w:szCs w:val="36"/>
                                    </w:rPr>
                                    <m:t>A2-A1</m:t>
                                  </m:r>
                                </m:num>
                                <m:den>
                                  <m:r>
                                    <w:rPr>
                                      <w:rFonts w:ascii="Cambria Math" w:hAnsi="Cambria Math" w:cstheme="minorBidi"/>
                                      <w:color w:val="000000" w:themeColor="text1"/>
                                      <w:kern w:val="24"/>
                                      <w:sz w:val="36"/>
                                      <w:szCs w:val="36"/>
                                    </w:rPr>
                                    <m:t>A2</m:t>
                                  </m:r>
                                </m:den>
                              </m:f>
                            </m:oMath>
                          </w:p>
                          <w:p w14:paraId="0320E63B" w14:textId="77777777" w:rsidR="00A0552F" w:rsidRDefault="00A0552F" w:rsidP="00A0552F"/>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2CA477E1" id="_x0000_t202" coordsize="21600,21600" o:spt="202" path="m,l,21600r21600,l21600,xe">
                <v:stroke joinstyle="miter"/>
                <v:path gradientshapeok="t" o:connecttype="rect"/>
              </v:shapetype>
              <v:shape id="文本框 15" o:spid="_x0000_s1026" type="#_x0000_t202" style="position:absolute;left:0;text-align:left;margin-left:152.2pt;margin-top:7.7pt;width:136.65pt;height:3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" filled="f" stroked="f">
                <v:textbox style="mso-fit-shape-to-text:t">
                  <w:txbxContent>
                    <w:p w14:paraId="538A7E6C" w14:textId="77777777" w:rsidR="00A0552F" w:rsidRDefault="00A0552F" w:rsidP="00A0552F">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m:oMath>
                        <m:f>
                          <m:fPr>
                            <m:ctrlPr>
                              <w:rPr>
                                <w:rFonts w:ascii="Cambria Math" w:eastAsiaTheme="minorEastAsia" w:hAnsi="Cambria Math" w:cstheme="minorBidi"/>
                                <w:i/>
                                <w:iCs/>
                                <w:color w:val="000000" w:themeColor="text1"/>
                                <w:kern w:val="24"/>
                                <w:sz w:val="36"/>
                                <w:szCs w:val="36"/>
                              </w:rPr>
                            </m:ctrlPr>
                          </m:fPr>
                          <m:num>
                            <m:r>
                              <w:rPr>
                                <w:rFonts w:ascii="Cambria Math" w:hAnsi="Cambria Math" w:cstheme="minorBidi"/>
                                <w:color w:val="000000" w:themeColor="text1"/>
                                <w:kern w:val="24"/>
                                <w:sz w:val="36"/>
                                <w:szCs w:val="36"/>
                              </w:rPr>
                              <m:t>A2-A1</m:t>
                            </m:r>
                          </m:num>
                          <m:den>
                            <m:r>
                              <w:rPr>
                                <w:rFonts w:ascii="Cambria Math" w:hAnsi="Cambria Math" w:cstheme="minorBidi"/>
                                <w:color w:val="000000" w:themeColor="text1"/>
                                <w:kern w:val="24"/>
                                <w:sz w:val="36"/>
                                <w:szCs w:val="36"/>
                              </w:rPr>
                              <m:t>A2</m:t>
                            </m:r>
                          </m:den>
                        </m:f>
                      </m:oMath>
                    </w:p>
                    <w:p w14:paraId="0320E63B" w14:textId="77777777" w:rsidR="00A0552F" w:rsidRDefault="00A0552F" w:rsidP="00A0552F"/>
                  </w:txbxContent>
                </v:textbox>
              </v:shape>
            </w:pict>
          </mc:Fallback>
        </mc:AlternateContent>
      </w:r>
    </w:p>
    <w:p w14:paraId="075C5592" w14:textId="77777777" w:rsidR="00A0552F" w:rsidRPr="009573F4" w:rsidRDefault="00A0552F" w:rsidP="00A0552F">
      <w:pPr>
        <w:jc w:val="both"/>
        <w:rPr>
          <w:color w:val="000000" w:themeColor="text1"/>
          <w:shd w:val="clear" w:color="auto" w:fill="FFFFFF"/>
        </w:rPr>
      </w:pPr>
      <w:r w:rsidRPr="009573F4">
        <w:rPr>
          <w:color w:val="000000" w:themeColor="text1"/>
        </w:rPr>
        <w:t>*</w:t>
      </w:r>
      <w:r w:rsidRPr="009573F4">
        <w:rPr>
          <w:noProof/>
          <w:color w:val="000000" w:themeColor="text1"/>
        </w:rPr>
        <w:t xml:space="preserve"> </w:t>
      </w:r>
      <w:r w:rsidRPr="009573F4">
        <w:rPr>
          <w:color w:val="000000" w:themeColor="text1"/>
          <w:shd w:val="clear" w:color="auto" w:fill="FFFFFF"/>
        </w:rPr>
        <w:t xml:space="preserve">Percentage reduction </w:t>
      </w:r>
      <w:hyperlink r:id="rId7" w:history="1">
        <w:r w:rsidRPr="009573F4">
          <w:rPr>
            <w:color w:val="000000" w:themeColor="text1"/>
            <w:shd w:val="clear" w:color="auto" w:fill="FFFFFF"/>
          </w:rPr>
          <w:t>of</w:t>
        </w:r>
      </w:hyperlink>
      <w:r w:rsidRPr="009573F4">
        <w:rPr>
          <w:color w:val="000000" w:themeColor="text1"/>
          <w:shd w:val="clear" w:color="auto" w:fill="FFFFFF"/>
        </w:rPr>
        <w:t xml:space="preserve"> area:</w:t>
      </w:r>
    </w:p>
    <w:p w14:paraId="7C4B7DC1" w14:textId="77777777" w:rsidR="00A0552F" w:rsidRPr="009573F4" w:rsidRDefault="00A0552F" w:rsidP="00A0552F">
      <w:pPr>
        <w:jc w:val="both"/>
        <w:rPr>
          <w:color w:val="000000" w:themeColor="text1"/>
        </w:rPr>
      </w:pPr>
    </w:p>
    <w:p w14:paraId="77244C65" w14:textId="77777777" w:rsidR="00A0552F" w:rsidRPr="009573F4" w:rsidRDefault="00A0552F" w:rsidP="00A0552F">
      <w:pPr>
        <w:jc w:val="both"/>
        <w:rPr>
          <w:color w:val="000000" w:themeColor="text1"/>
          <w:shd w:val="clear" w:color="auto" w:fill="FFFFFF"/>
        </w:rPr>
      </w:pPr>
      <w:r w:rsidRPr="009573F4">
        <w:rPr>
          <w:rFonts w:eastAsiaTheme="minorEastAsia"/>
          <w:color w:val="000000" w:themeColor="text1"/>
          <w:shd w:val="clear" w:color="auto" w:fill="FFFFFF"/>
        </w:rPr>
        <w:t xml:space="preserve">The calculation result shows that the </w:t>
      </w:r>
      <w:r w:rsidRPr="009573F4">
        <w:rPr>
          <w:color w:val="000000" w:themeColor="text1"/>
          <w:shd w:val="clear" w:color="auto" w:fill="FFFFFF"/>
        </w:rPr>
        <w:t>fracture shrinkage rates</w:t>
      </w:r>
      <w:r w:rsidRPr="009573F4">
        <w:rPr>
          <w:rFonts w:eastAsiaTheme="minorEastAsia"/>
          <w:color w:val="000000" w:themeColor="text1"/>
          <w:shd w:val="clear" w:color="auto" w:fill="FFFFFF"/>
        </w:rPr>
        <w:t xml:space="preserve"> are 0.56, 0.59 and 0.51 for 600</w:t>
      </w:r>
      <w:r w:rsidRPr="009573F4">
        <w:rPr>
          <w:rFonts w:eastAsiaTheme="minorEastAsia"/>
          <w:color w:val="000000" w:themeColor="text1"/>
          <w:shd w:val="clear" w:color="auto" w:fill="FFFFFF"/>
          <w:vertAlign w:val="superscript"/>
        </w:rPr>
        <w:t>o</w:t>
      </w:r>
      <w:r w:rsidRPr="009573F4">
        <w:rPr>
          <w:rFonts w:eastAsiaTheme="minorEastAsia"/>
          <w:color w:val="000000" w:themeColor="text1"/>
          <w:shd w:val="clear" w:color="auto" w:fill="FFFFFF"/>
        </w:rPr>
        <w:t>C, 800</w:t>
      </w:r>
      <w:r w:rsidRPr="009573F4">
        <w:rPr>
          <w:rFonts w:eastAsiaTheme="minorEastAsia"/>
          <w:color w:val="000000" w:themeColor="text1"/>
          <w:shd w:val="clear" w:color="auto" w:fill="FFFFFF"/>
          <w:vertAlign w:val="superscript"/>
        </w:rPr>
        <w:t>o</w:t>
      </w:r>
      <w:r w:rsidRPr="009573F4">
        <w:rPr>
          <w:rFonts w:eastAsiaTheme="minorEastAsia"/>
          <w:color w:val="000000" w:themeColor="text1"/>
          <w:shd w:val="clear" w:color="auto" w:fill="FFFFFF"/>
        </w:rPr>
        <w:t>C and 1100</w:t>
      </w:r>
      <w:r w:rsidRPr="009573F4">
        <w:rPr>
          <w:rFonts w:eastAsiaTheme="minorEastAsia"/>
          <w:color w:val="000000" w:themeColor="text1"/>
          <w:shd w:val="clear" w:color="auto" w:fill="FFFFFF"/>
          <w:vertAlign w:val="superscript"/>
        </w:rPr>
        <w:t>o</w:t>
      </w:r>
      <w:r w:rsidRPr="009573F4">
        <w:rPr>
          <w:rFonts w:eastAsiaTheme="minorEastAsia"/>
          <w:color w:val="000000" w:themeColor="text1"/>
          <w:shd w:val="clear" w:color="auto" w:fill="FFFFFF"/>
        </w:rPr>
        <w:t>C.</w:t>
      </w:r>
      <w:r w:rsidRPr="009573F4">
        <w:rPr>
          <w:color w:val="000000" w:themeColor="text1"/>
          <w:shd w:val="clear" w:color="auto" w:fill="FFFFFF"/>
        </w:rPr>
        <w:t xml:space="preserve"> The present calculation method of fracture shrinkage rate can avoid the influence of uniform elongation on fracture shrinkage rate. The results show that the fracture shrinkage rate of three kinds of materials on the surface is very close, indicating that the annealing temperature has little influence on the fracture mode of samples.</w:t>
      </w:r>
    </w:p>
    <w:p w14:paraId="4693C57D" w14:textId="77777777" w:rsidR="00A0552F" w:rsidRPr="009573F4" w:rsidRDefault="00A0552F" w:rsidP="00A0552F">
      <w:pPr>
        <w:jc w:val="both"/>
        <w:rPr>
          <w:rFonts w:eastAsiaTheme="minorEastAsia"/>
          <w:color w:val="000000" w:themeColor="text1"/>
          <w:shd w:val="clear" w:color="auto" w:fill="FFFFFF"/>
        </w:rPr>
      </w:pPr>
    </w:p>
    <w:p w14:paraId="2E0C1D8F" w14:textId="77777777" w:rsidR="00A0552F" w:rsidRPr="009573F4" w:rsidRDefault="00A0552F" w:rsidP="00A0552F">
      <w:pPr>
        <w:jc w:val="both"/>
        <w:rPr>
          <w:color w:val="000000" w:themeColor="text1"/>
        </w:rPr>
      </w:pPr>
    </w:p>
    <w:p w14:paraId="21D6C5ED" w14:textId="77777777" w:rsidR="00A0552F" w:rsidRPr="009573F4" w:rsidRDefault="00A0552F" w:rsidP="00A0552F">
      <w:pPr>
        <w:jc w:val="both"/>
        <w:rPr>
          <w:color w:val="4E4E4E"/>
          <w:sz w:val="22"/>
          <w:szCs w:val="22"/>
          <w:shd w:val="clear" w:color="auto" w:fill="FFFFFF"/>
        </w:rPr>
      </w:pPr>
      <w:r w:rsidRPr="009573F4">
        <w:rPr>
          <w:noProof/>
          <w:color w:val="4E4E4E"/>
          <w:sz w:val="22"/>
          <w:szCs w:val="22"/>
          <w:shd w:val="clear" w:color="auto" w:fill="FFFFFF"/>
        </w:rPr>
        <w:drawing>
          <wp:inline distT="0" distB="0" distL="0" distR="0" wp14:anchorId="22826A20" wp14:editId="002E1E8D">
            <wp:extent cx="5943600" cy="4356735"/>
            <wp:effectExtent l="0" t="0" r="0" b="0"/>
            <wp:docPr id="4" name="Picture 4" descr="A picture containing text,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old&#10;&#10;Description automatically generated"/>
                    <pic:cNvPicPr/>
                  </pic:nvPicPr>
                  <pic:blipFill>
                    <a:blip r:embed="rId8"/>
                    <a:stretch>
                      <a:fillRect/>
                    </a:stretch>
                  </pic:blipFill>
                  <pic:spPr>
                    <a:xfrm>
                      <a:off x="0" y="0"/>
                      <a:ext cx="5943600" cy="4356735"/>
                    </a:xfrm>
                    <a:prstGeom prst="rect">
                      <a:avLst/>
                    </a:prstGeom>
                  </pic:spPr>
                </pic:pic>
              </a:graphicData>
            </a:graphic>
          </wp:inline>
        </w:drawing>
      </w:r>
    </w:p>
    <w:p w14:paraId="4773D9CF" w14:textId="77777777" w:rsidR="00A0552F" w:rsidRPr="009573F4" w:rsidRDefault="00A0552F" w:rsidP="00A0552F">
      <w:pPr>
        <w:jc w:val="both"/>
        <w:rPr>
          <w:color w:val="4E4E4E"/>
          <w:sz w:val="22"/>
          <w:szCs w:val="22"/>
          <w:shd w:val="clear" w:color="auto" w:fill="FFFFFF"/>
        </w:rPr>
      </w:pPr>
    </w:p>
    <w:p w14:paraId="4277A354" w14:textId="77777777" w:rsidR="00A0552F" w:rsidRPr="009573F4" w:rsidRDefault="00A0552F" w:rsidP="00A0552F">
      <w:pPr>
        <w:jc w:val="both"/>
        <w:rPr>
          <w:color w:val="000000" w:themeColor="text1"/>
          <w:sz w:val="22"/>
          <w:szCs w:val="22"/>
          <w:shd w:val="clear" w:color="auto" w:fill="FFFFFF"/>
        </w:rPr>
      </w:pPr>
      <w:r w:rsidRPr="009573F4">
        <w:rPr>
          <w:b/>
          <w:color w:val="000000" w:themeColor="text1"/>
          <w:sz w:val="22"/>
          <w:szCs w:val="22"/>
          <w:shd w:val="clear" w:color="auto" w:fill="FFFFFF"/>
        </w:rPr>
        <w:t xml:space="preserve">Figure S3. The fracture observation of the (a) </w:t>
      </w:r>
      <w:proofErr w:type="gramStart"/>
      <w:r w:rsidRPr="009573F4">
        <w:rPr>
          <w:b/>
          <w:color w:val="000000" w:themeColor="text1"/>
          <w:sz w:val="22"/>
          <w:szCs w:val="22"/>
          <w:shd w:val="clear" w:color="auto" w:fill="FFFFFF"/>
        </w:rPr>
        <w:t>as-received</w:t>
      </w:r>
      <w:proofErr w:type="gramEnd"/>
      <w:r w:rsidRPr="009573F4">
        <w:rPr>
          <w:b/>
          <w:color w:val="000000" w:themeColor="text1"/>
          <w:sz w:val="22"/>
          <w:szCs w:val="22"/>
          <w:shd w:val="clear" w:color="auto" w:fill="FFFFFF"/>
        </w:rPr>
        <w:t xml:space="preserve">, (b) 600 </w:t>
      </w:r>
      <w:proofErr w:type="spellStart"/>
      <w:r w:rsidRPr="009573F4">
        <w:rPr>
          <w:b/>
          <w:color w:val="000000" w:themeColor="text1"/>
          <w:sz w:val="22"/>
          <w:szCs w:val="22"/>
          <w:shd w:val="clear" w:color="auto" w:fill="FFFFFF"/>
          <w:vertAlign w:val="superscript"/>
        </w:rPr>
        <w:t>o</w:t>
      </w:r>
      <w:r w:rsidRPr="009573F4">
        <w:rPr>
          <w:b/>
          <w:color w:val="000000" w:themeColor="text1"/>
          <w:sz w:val="22"/>
          <w:szCs w:val="22"/>
          <w:shd w:val="clear" w:color="auto" w:fill="FFFFFF"/>
        </w:rPr>
        <w:t>C</w:t>
      </w:r>
      <w:proofErr w:type="spellEnd"/>
      <w:r w:rsidRPr="009573F4">
        <w:rPr>
          <w:b/>
          <w:color w:val="000000" w:themeColor="text1"/>
          <w:sz w:val="22"/>
          <w:szCs w:val="22"/>
          <w:shd w:val="clear" w:color="auto" w:fill="FFFFFF"/>
        </w:rPr>
        <w:t>, (c) 800</w:t>
      </w:r>
      <w:r w:rsidRPr="009573F4">
        <w:rPr>
          <w:b/>
          <w:color w:val="000000" w:themeColor="text1"/>
          <w:sz w:val="22"/>
          <w:szCs w:val="22"/>
          <w:shd w:val="clear" w:color="auto" w:fill="FFFFFF"/>
          <w:vertAlign w:val="superscript"/>
        </w:rPr>
        <w:t xml:space="preserve"> </w:t>
      </w:r>
      <w:proofErr w:type="spellStart"/>
      <w:r w:rsidRPr="009573F4">
        <w:rPr>
          <w:b/>
          <w:color w:val="000000" w:themeColor="text1"/>
          <w:sz w:val="22"/>
          <w:szCs w:val="22"/>
          <w:shd w:val="clear" w:color="auto" w:fill="FFFFFF"/>
          <w:vertAlign w:val="superscript"/>
        </w:rPr>
        <w:t>o</w:t>
      </w:r>
      <w:r w:rsidRPr="009573F4">
        <w:rPr>
          <w:b/>
          <w:color w:val="000000" w:themeColor="text1"/>
          <w:sz w:val="22"/>
          <w:szCs w:val="22"/>
          <w:shd w:val="clear" w:color="auto" w:fill="FFFFFF"/>
        </w:rPr>
        <w:t>C</w:t>
      </w:r>
      <w:proofErr w:type="spellEnd"/>
      <w:r w:rsidRPr="009573F4">
        <w:rPr>
          <w:b/>
          <w:color w:val="000000" w:themeColor="text1"/>
          <w:sz w:val="22"/>
          <w:szCs w:val="22"/>
          <w:shd w:val="clear" w:color="auto" w:fill="FFFFFF"/>
        </w:rPr>
        <w:t xml:space="preserve"> and (d) 1100</w:t>
      </w:r>
      <w:r w:rsidRPr="009573F4">
        <w:rPr>
          <w:b/>
          <w:color w:val="000000" w:themeColor="text1"/>
          <w:sz w:val="22"/>
          <w:szCs w:val="22"/>
          <w:shd w:val="clear" w:color="auto" w:fill="FFFFFF"/>
          <w:vertAlign w:val="superscript"/>
        </w:rPr>
        <w:t xml:space="preserve"> </w:t>
      </w:r>
      <w:proofErr w:type="spellStart"/>
      <w:r w:rsidRPr="009573F4">
        <w:rPr>
          <w:b/>
          <w:color w:val="000000" w:themeColor="text1"/>
          <w:sz w:val="22"/>
          <w:szCs w:val="22"/>
          <w:shd w:val="clear" w:color="auto" w:fill="FFFFFF"/>
          <w:vertAlign w:val="superscript"/>
        </w:rPr>
        <w:t>o</w:t>
      </w:r>
      <w:r w:rsidRPr="009573F4">
        <w:rPr>
          <w:b/>
          <w:color w:val="000000" w:themeColor="text1"/>
          <w:sz w:val="22"/>
          <w:szCs w:val="22"/>
          <w:shd w:val="clear" w:color="auto" w:fill="FFFFFF"/>
        </w:rPr>
        <w:t>C</w:t>
      </w:r>
      <w:proofErr w:type="spellEnd"/>
      <w:r w:rsidRPr="009573F4">
        <w:rPr>
          <w:b/>
          <w:color w:val="000000" w:themeColor="text1"/>
          <w:sz w:val="22"/>
          <w:szCs w:val="22"/>
          <w:shd w:val="clear" w:color="auto" w:fill="FFFFFF"/>
        </w:rPr>
        <w:t xml:space="preserve"> annealed samples. </w:t>
      </w:r>
      <w:r w:rsidRPr="009573F4">
        <w:rPr>
          <w:color w:val="000000" w:themeColor="text1"/>
          <w:sz w:val="22"/>
          <w:szCs w:val="22"/>
          <w:shd w:val="clear" w:color="auto" w:fill="FFFFFF"/>
        </w:rPr>
        <w:t>The fracture observation of the four samples shows that the surface of the fracture is full of dimples, indicating that they are all ductile fractures. In addition, the large dimples on the fracture are inclusions that led to the observation through the fracture. The present fracture observation supports that the annealing temperature does not change the fracture behaviors of these four samples.</w:t>
      </w:r>
    </w:p>
    <w:p w14:paraId="02C1B226" w14:textId="77777777" w:rsidR="00A0552F" w:rsidRPr="009573F4" w:rsidRDefault="00A0552F" w:rsidP="00A0552F">
      <w:pPr>
        <w:jc w:val="both"/>
        <w:rPr>
          <w:color w:val="000000" w:themeColor="text1"/>
          <w:sz w:val="20"/>
          <w:szCs w:val="20"/>
          <w:shd w:val="clear" w:color="auto" w:fill="FFFFFF"/>
        </w:rPr>
      </w:pPr>
    </w:p>
    <w:p w14:paraId="5BDC0D1B" w14:textId="77777777" w:rsidR="00A0552F" w:rsidRPr="009573F4" w:rsidRDefault="00A0552F" w:rsidP="00A0552F">
      <w:pPr>
        <w:jc w:val="center"/>
        <w:rPr>
          <w:color w:val="4E4E4E"/>
          <w:sz w:val="20"/>
          <w:szCs w:val="20"/>
          <w:shd w:val="clear" w:color="auto" w:fill="FFFFFF"/>
        </w:rPr>
      </w:pPr>
      <w:r w:rsidRPr="009573F4">
        <w:rPr>
          <w:noProof/>
          <w:color w:val="4E4E4E"/>
          <w:sz w:val="20"/>
          <w:szCs w:val="20"/>
          <w:shd w:val="clear" w:color="auto" w:fill="FFFFFF"/>
        </w:rPr>
        <w:drawing>
          <wp:inline distT="0" distB="0" distL="0" distR="0" wp14:anchorId="0456C14C" wp14:editId="0F422B53">
            <wp:extent cx="3288215" cy="3544584"/>
            <wp:effectExtent l="0" t="0" r="1270" b="0"/>
            <wp:docPr id="9" name="Picture 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applicati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89316" cy="3545771"/>
                    </a:xfrm>
                    <a:prstGeom prst="rect">
                      <a:avLst/>
                    </a:prstGeom>
                  </pic:spPr>
                </pic:pic>
              </a:graphicData>
            </a:graphic>
          </wp:inline>
        </w:drawing>
      </w:r>
    </w:p>
    <w:p w14:paraId="23EFB295" w14:textId="77777777" w:rsidR="00A0552F" w:rsidRPr="009573F4" w:rsidRDefault="00A0552F" w:rsidP="00A0552F">
      <w:pPr>
        <w:jc w:val="both"/>
        <w:rPr>
          <w:color w:val="4E4E4E"/>
          <w:shd w:val="clear" w:color="auto" w:fill="FFFFFF"/>
        </w:rPr>
      </w:pPr>
    </w:p>
    <w:p w14:paraId="3DA2CC94" w14:textId="77777777" w:rsidR="00A0552F" w:rsidRPr="009573F4" w:rsidRDefault="00A0552F" w:rsidP="00A0552F">
      <w:pPr>
        <w:jc w:val="center"/>
        <w:rPr>
          <w:b/>
          <w:color w:val="000000" w:themeColor="text1"/>
          <w:sz w:val="22"/>
          <w:szCs w:val="22"/>
          <w:shd w:val="clear" w:color="auto" w:fill="FFFFFF"/>
        </w:rPr>
      </w:pPr>
      <w:r w:rsidRPr="009573F4">
        <w:rPr>
          <w:b/>
          <w:color w:val="000000" w:themeColor="text1"/>
          <w:sz w:val="22"/>
          <w:szCs w:val="22"/>
          <w:shd w:val="clear" w:color="auto" w:fill="FFFFFF"/>
        </w:rPr>
        <w:t>Figure. S4. Illustration of short chemical preference of Cr-Co and Cr-Ni.</w:t>
      </w:r>
    </w:p>
    <w:p w14:paraId="298F2A6D" w14:textId="77777777" w:rsidR="00A0552F" w:rsidRPr="009573F4" w:rsidRDefault="00A0552F" w:rsidP="00A0552F">
      <w:pPr>
        <w:jc w:val="both"/>
        <w:rPr>
          <w:color w:val="000000" w:themeColor="text1"/>
        </w:rPr>
      </w:pPr>
    </w:p>
    <w:p w14:paraId="745B5735" w14:textId="77777777" w:rsidR="00A0552F" w:rsidRPr="009573F4" w:rsidRDefault="00A0552F" w:rsidP="00A0552F">
      <w:pPr>
        <w:pBdr>
          <w:bottom w:val="single" w:sz="6" w:space="1" w:color="auto"/>
        </w:pBdr>
        <w:jc w:val="both"/>
        <w:rPr>
          <w:color w:val="000000" w:themeColor="text1"/>
        </w:rPr>
      </w:pPr>
      <w:r w:rsidRPr="009573F4">
        <w:rPr>
          <w:color w:val="000000" w:themeColor="text1"/>
        </w:rPr>
        <w:t xml:space="preserve">Co and Ni are belonging to electron rich metal family. Compared to these two metals, </w:t>
      </w:r>
      <w:proofErr w:type="gramStart"/>
      <w:r w:rsidRPr="009573F4">
        <w:rPr>
          <w:color w:val="000000" w:themeColor="text1"/>
        </w:rPr>
        <w:t>i.e.</w:t>
      </w:r>
      <w:proofErr w:type="gramEnd"/>
      <w:r w:rsidRPr="009573F4">
        <w:rPr>
          <w:color w:val="000000" w:themeColor="text1"/>
        </w:rPr>
        <w:t xml:space="preserve"> Co, Ni, Cr seems much more electron deficient. Consequently, Cr prefers to form the intermetallic bonding with Ni or Co to achieve a more stable structure</w:t>
      </w:r>
      <w:r w:rsidRPr="009573F4">
        <w:rPr>
          <w:color w:val="000000" w:themeColor="text1"/>
        </w:rPr>
        <w:fldChar w:fldCharType="begin" w:fldLock="1"/>
      </w:r>
      <w:r w:rsidRPr="009573F4">
        <w:rPr>
          <w:color w:val="000000" w:themeColor="text1"/>
        </w:rPr>
        <w:instrText>ADDIN CSL_CITATION {"citationItems":[{"id":"ITEM-1","itemData":{"DOI":"10.1002/ange.201702156","abstract":"We illustrate how the crystal structure of Fe 14 Pd 17 Al 69 provides an example of an electron-hole matching approach to inducing frustration in intermetallic systems.I ts structure contains af ramework based on IrAl 2.75 ,abinary compound that closely adheres to the 18Ànr ule.Upon substituting the Ir with am ixture of Fe and Pd, ac ompetition arises between maintaining the overall ideal electron concentration and accommodating the different structural preferences of the two elements.A2 ” 2 ” 2s upercell results,w ith Pd-and Fe-rich regions emerging.J ust as in the original IrAl 2.75 phase,t he electronic structure of Fe 14 Pd 17 Al 69 exhibits apseudogap at the Fermi energy arising from an 18Ànb onding scheme.T he electron-hole matching approachsa bility to combine structural complexity with electronic pseudogaps offers an avenue to new phonon glass-electron crystal materials.","author":[{"dropping-particle":"","family":"Theory","given":"Bond","non-dropping-particle":"","parse-names":false,"suffix":""},{"dropping-particle":"","family":"C Peterson","given":"Gordon G","non-dropping-particle":"","parse-names":false,"suffix":""},{"dropping-particle":"","family":"Yannello","given":"Vincent J","non-dropping-particle":"","parse-names":false,"suffix":""},{"dropping-particle":"","family":"Daniel Fredrickson","given":"nd C","non-dropping-particle":"","parse-names":false,"suffix":""}],"id":"ITEM-1","issued":{"date-parts":[["0"]]},"title":"Inducing Complexity in Intermetallics through Electron-Hole Matching:The Structure of Fe 14 Pd 17 Al 69","type":"article-journal"},"uris":["http://www.mendeley.com/documents/?uuid=204b45ec-1acb-3eb3-987e-64bd37ba1ede"]},{"id":"ITEM-2","itemData":{"DOI":"10.1021/ic202727k","ISSN":"0020-1669","author":[{"dropping-particle":"","family":"Stacey","given":"Timothy E.","non-dropping-particle":"","parse-names":false,"suffix":""},{"dropping-particle":"","family":"Fredrickson","given":"Daniel C.","non-dropping-particle":"","parse-names":false,"suffix":""}],"container-title":"Inorganic Chemistry","id":"ITEM-2","issue":"7","issued":{"date-parts":[["2012","4","2"]]},"page":"4250-4264","title":"The μ &lt;sub&gt;3&lt;/sub&gt; Model of Acids and Bases: Extending the Lewis Theory to Intermetallics","type":"article-journal","volume":"51"},"uris":["http://www.mendeley.com/documents/?uuid=13b9822f-6daf-3e19-8a14-7226e36196e8"]}],"mendeley":{"formattedCitation":"(&lt;i&gt;14&lt;/i&gt;, &lt;i&gt;15&lt;/i&gt;)","plainTextFormattedCitation":"(14, 15)","previouslyFormattedCitation":"(&lt;i&gt;14&lt;/i&gt;, &lt;i&gt;15&lt;/i&gt;)"},"properties":{"noteIndex":0},"schema":"https://github.com/citation-style-language/schema/raw/master/csl-citation.json"}</w:instrText>
      </w:r>
      <w:r w:rsidRPr="009573F4">
        <w:rPr>
          <w:color w:val="000000" w:themeColor="text1"/>
        </w:rPr>
        <w:fldChar w:fldCharType="separate"/>
      </w:r>
      <w:r w:rsidRPr="009573F4">
        <w:rPr>
          <w:noProof/>
          <w:color w:val="000000" w:themeColor="text1"/>
        </w:rPr>
        <w:t>(</w:t>
      </w:r>
      <w:r w:rsidRPr="009573F4">
        <w:rPr>
          <w:i/>
          <w:noProof/>
          <w:color w:val="000000" w:themeColor="text1"/>
        </w:rPr>
        <w:t>14</w:t>
      </w:r>
      <w:r w:rsidRPr="009573F4">
        <w:rPr>
          <w:noProof/>
          <w:color w:val="000000" w:themeColor="text1"/>
        </w:rPr>
        <w:t xml:space="preserve">, </w:t>
      </w:r>
      <w:r w:rsidRPr="009573F4">
        <w:rPr>
          <w:i/>
          <w:noProof/>
          <w:color w:val="000000" w:themeColor="text1"/>
        </w:rPr>
        <w:t>15</w:t>
      </w:r>
      <w:r w:rsidRPr="009573F4">
        <w:rPr>
          <w:noProof/>
          <w:color w:val="000000" w:themeColor="text1"/>
        </w:rPr>
        <w:t>)</w:t>
      </w:r>
      <w:r w:rsidRPr="009573F4">
        <w:rPr>
          <w:color w:val="000000" w:themeColor="text1"/>
        </w:rPr>
        <w:fldChar w:fldCharType="end"/>
      </w:r>
      <w:r w:rsidRPr="009573F4">
        <w:rPr>
          <w:color w:val="000000" w:themeColor="text1"/>
        </w:rPr>
        <w:t xml:space="preserve">. </w:t>
      </w:r>
    </w:p>
    <w:p w14:paraId="2F750859" w14:textId="77777777" w:rsidR="006C3E43" w:rsidRDefault="006C3E43"/>
    <w:sectPr w:rsidR="006C3E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2F"/>
    <w:rsid w:val="006C3E43"/>
    <w:rsid w:val="00A0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EDCF"/>
  <w15:chartTrackingRefBased/>
  <w15:docId w15:val="{7257DD5C-D7F7-4259-BD66-E57FE977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52F"/>
    <w:pPr>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link:o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4656</Characters>
  <Application>Microsoft Office Word</Application>
  <DocSecurity>0</DocSecurity>
  <Lines>38</Lines>
  <Paragraphs>10</Paragraphs>
  <ScaleCrop>false</ScaleCrop>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2022-06-07T18:45:00Z</dcterms:created>
  <dcterms:modified xsi:type="dcterms:W3CDTF">2022-06-07T18:45:00Z</dcterms:modified>
</cp:coreProperties>
</file>